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17C6" w:rsidRPr="002217C6" w:rsidRDefault="001F364D" w:rsidP="002217C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>
        <w:fldChar w:fldCharType="begin"/>
      </w:r>
      <w:r>
        <w:instrText xml:space="preserve"> HYPERLINK "http://kt.tatarstan.ru/rus/file/pub/pub_2167094.pdf" </w:instrText>
      </w:r>
      <w:r>
        <w:fldChar w:fldCharType="separate"/>
      </w:r>
      <w:r w:rsidR="002217C6" w:rsidRPr="002217C6">
        <w:rPr>
          <w:rStyle w:val="a9"/>
          <w:rFonts w:eastAsia="Times New Roman" w:cs="Times New Roman"/>
          <w:szCs w:val="20"/>
          <w:lang w:eastAsia="ru-RU"/>
        </w:rPr>
        <w:t xml:space="preserve">Ставки </w:t>
      </w:r>
      <w:proofErr w:type="gramStart"/>
      <w:r w:rsidR="002217C6" w:rsidRPr="002217C6">
        <w:rPr>
          <w:rStyle w:val="a9"/>
          <w:rFonts w:eastAsia="Times New Roman" w:cs="Times New Roman"/>
          <w:szCs w:val="20"/>
          <w:lang w:eastAsia="ru-RU"/>
        </w:rPr>
        <w:t xml:space="preserve">за единицу максимальной мощности для расчета платы за технологическое присоединение </w:t>
      </w:r>
      <w:r w:rsidR="002217C6" w:rsidRPr="002217C6">
        <w:rPr>
          <w:rStyle w:val="a9"/>
          <w:rFonts w:eastAsia="Times New Roman" w:cs="Times New Roman"/>
          <w:szCs w:val="28"/>
          <w:lang w:eastAsia="ru-RU"/>
        </w:rPr>
        <w:t>к электрическим сетям на уровне</w:t>
      </w:r>
      <w:proofErr w:type="gramEnd"/>
      <w:r w:rsidR="002217C6" w:rsidRPr="002217C6">
        <w:rPr>
          <w:rStyle w:val="a9"/>
          <w:rFonts w:eastAsia="Times New Roman" w:cs="Times New Roman"/>
          <w:szCs w:val="28"/>
          <w:lang w:eastAsia="ru-RU"/>
        </w:rPr>
        <w:t xml:space="preserve"> напряжения ниже 35 </w:t>
      </w:r>
      <w:proofErr w:type="spellStart"/>
      <w:r w:rsidR="002217C6" w:rsidRPr="002217C6">
        <w:rPr>
          <w:rStyle w:val="a9"/>
          <w:rFonts w:eastAsia="Times New Roman" w:cs="Times New Roman"/>
          <w:szCs w:val="28"/>
          <w:lang w:eastAsia="ru-RU"/>
        </w:rPr>
        <w:t>кВ</w:t>
      </w:r>
      <w:proofErr w:type="spellEnd"/>
      <w:r w:rsidR="002217C6" w:rsidRPr="002217C6">
        <w:rPr>
          <w:rStyle w:val="a9"/>
          <w:rFonts w:eastAsia="Times New Roman" w:cs="Times New Roman"/>
          <w:szCs w:val="28"/>
          <w:lang w:eastAsia="ru-RU"/>
        </w:rPr>
        <w:t xml:space="preserve"> и мощности менее 8 900 кВт, расположенным</w:t>
      </w:r>
      <w:r w:rsidR="002217C6" w:rsidRPr="002217C6">
        <w:rPr>
          <w:rStyle w:val="a9"/>
          <w:rFonts w:eastAsia="Times New Roman" w:cs="Times New Roman"/>
          <w:szCs w:val="20"/>
          <w:lang w:eastAsia="ru-RU"/>
        </w:rPr>
        <w:t xml:space="preserve"> на территории Республики Татарстан электрическим сетям сетевых организаций</w:t>
      </w:r>
      <w:r w:rsidR="002217C6" w:rsidRPr="002217C6">
        <w:rPr>
          <w:rStyle w:val="a9"/>
          <w:rFonts w:eastAsia="Times New Roman" w:cs="Times New Roman"/>
          <w:szCs w:val="20"/>
          <w:vertAlign w:val="superscript"/>
          <w:lang w:eastAsia="ru-RU"/>
        </w:rPr>
        <w:t>&lt;1&gt;</w:t>
      </w:r>
      <w:r>
        <w:rPr>
          <w:rStyle w:val="a9"/>
          <w:rFonts w:eastAsia="Times New Roman" w:cs="Times New Roman"/>
          <w:szCs w:val="20"/>
          <w:vertAlign w:val="superscript"/>
          <w:lang w:eastAsia="ru-RU"/>
        </w:rPr>
        <w:fldChar w:fldCharType="end"/>
      </w:r>
    </w:p>
    <w:p w:rsidR="002217C6" w:rsidRPr="002217C6" w:rsidRDefault="002217C6" w:rsidP="002217C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2"/>
          <w:lang w:eastAsia="ru-RU"/>
        </w:rPr>
      </w:pPr>
    </w:p>
    <w:p w:rsidR="002217C6" w:rsidRPr="002217C6" w:rsidRDefault="002217C6" w:rsidP="002217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217C6">
        <w:rPr>
          <w:rFonts w:eastAsia="Times New Roman" w:cs="Times New Roman"/>
          <w:sz w:val="24"/>
          <w:szCs w:val="24"/>
          <w:lang w:eastAsia="ru-RU"/>
        </w:rPr>
        <w:t xml:space="preserve">Таблица 1 </w:t>
      </w:r>
    </w:p>
    <w:p w:rsidR="002217C6" w:rsidRPr="002217C6" w:rsidRDefault="002217C6" w:rsidP="002217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217C6">
        <w:rPr>
          <w:rFonts w:eastAsia="Times New Roman" w:cs="Times New Roman"/>
          <w:sz w:val="24"/>
          <w:szCs w:val="24"/>
          <w:lang w:eastAsia="ru-RU"/>
        </w:rPr>
        <w:t>руб./кВт (без учета НДС)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2126"/>
        <w:gridCol w:w="2234"/>
      </w:tblGrid>
      <w:tr w:rsidR="002217C6" w:rsidRPr="002217C6" w:rsidTr="00B7463D">
        <w:tc>
          <w:tcPr>
            <w:tcW w:w="6238" w:type="dxa"/>
            <w:shd w:val="clear" w:color="auto" w:fill="auto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мероприятий, в соответствии с пунктом 16 подпункта «а» и «в» Методических указаний, утвержденных приказом Федеральной антимонопольной службы от</w:t>
            </w:r>
            <w:r w:rsidRPr="002217C6">
              <w:rPr>
                <w:rFonts w:eastAsia="Calibri" w:cs="Times New Roman"/>
                <w:sz w:val="24"/>
                <w:szCs w:val="24"/>
                <w:lang w:val="en-US" w:eastAsia="ru-RU"/>
              </w:rPr>
              <w:t> 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  <w:r w:rsidRPr="002217C6">
              <w:rPr>
                <w:rFonts w:eastAsia="Calibri" w:cs="Times New Roman"/>
                <w:sz w:val="24"/>
                <w:szCs w:val="24"/>
                <w:lang w:val="en-US" w:eastAsia="ru-RU"/>
              </w:rPr>
              <w:t> 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августа 2017 г. № 1135/17</w:t>
            </w:r>
          </w:p>
        </w:tc>
        <w:tc>
          <w:tcPr>
            <w:tcW w:w="2126" w:type="dxa"/>
            <w:shd w:val="clear" w:color="auto" w:fill="auto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по постоянной схеме электроснабжения</w:t>
            </w:r>
          </w:p>
        </w:tc>
        <w:tc>
          <w:tcPr>
            <w:tcW w:w="2234" w:type="dxa"/>
            <w:shd w:val="clear" w:color="auto" w:fill="auto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по временной схеме</w:t>
            </w:r>
            <w:r w:rsidRPr="002217C6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 xml:space="preserve">&lt;2&gt; 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</w:tr>
      <w:tr w:rsidR="002217C6" w:rsidRPr="002217C6" w:rsidTr="00B7463D">
        <w:tc>
          <w:tcPr>
            <w:tcW w:w="6238" w:type="dxa"/>
            <w:shd w:val="clear" w:color="auto" w:fill="auto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С1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  <w:r w:rsidRPr="002217C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-  в том числе по мероприятиям: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1 004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1 004</w:t>
            </w:r>
          </w:p>
        </w:tc>
      </w:tr>
      <w:tr w:rsidR="002217C6" w:rsidRPr="002217C6" w:rsidTr="00B7463D">
        <w:tc>
          <w:tcPr>
            <w:tcW w:w="6238" w:type="dxa"/>
            <w:shd w:val="clear" w:color="auto" w:fill="auto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17C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17C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.1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подготовка и выдача сетевой организацией технических условий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2217C6" w:rsidRPr="002217C6" w:rsidTr="00B7463D">
        <w:tc>
          <w:tcPr>
            <w:tcW w:w="6238" w:type="dxa"/>
            <w:shd w:val="clear" w:color="auto" w:fill="auto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17C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17C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 xml:space="preserve">.2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проверка сетевой организацией выполнения заявителем технических условий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val="en-US" w:eastAsia="ru-RU"/>
              </w:rPr>
              <w:t>38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217C6" w:rsidRPr="002217C6" w:rsidRDefault="002217C6" w:rsidP="002217C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217C6" w:rsidRPr="002217C6" w:rsidRDefault="002217C6" w:rsidP="002217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217C6">
        <w:rPr>
          <w:rFonts w:eastAsia="Times New Roman" w:cs="Times New Roman"/>
          <w:sz w:val="24"/>
          <w:szCs w:val="24"/>
          <w:lang w:eastAsia="ru-RU"/>
        </w:rPr>
        <w:t xml:space="preserve">Таблица 2 </w:t>
      </w:r>
    </w:p>
    <w:p w:rsidR="002217C6" w:rsidRPr="002217C6" w:rsidRDefault="002217C6" w:rsidP="002217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217C6">
        <w:rPr>
          <w:rFonts w:eastAsia="Times New Roman" w:cs="Times New Roman"/>
          <w:sz w:val="24"/>
          <w:szCs w:val="24"/>
          <w:lang w:eastAsia="ru-RU"/>
        </w:rPr>
        <w:t>руб./кВт (без учета НДС)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2126"/>
        <w:gridCol w:w="2268"/>
      </w:tblGrid>
      <w:tr w:rsidR="002217C6" w:rsidRPr="002217C6" w:rsidTr="00B7463D">
        <w:trPr>
          <w:trHeight w:val="90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Условные</w:t>
            </w:r>
          </w:p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обозначения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мероприятий, в соответствии с пунктом 16 подпункта «б» Методических указаний, утвержденных приказом Федеральной антимонопольной службы от</w:t>
            </w:r>
            <w:r w:rsidRPr="002217C6">
              <w:rPr>
                <w:rFonts w:eastAsia="Calibri" w:cs="Times New Roman"/>
                <w:sz w:val="24"/>
                <w:szCs w:val="24"/>
                <w:lang w:val="en-US" w:eastAsia="ru-RU"/>
              </w:rPr>
              <w:t> 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  <w:r w:rsidRPr="002217C6">
              <w:rPr>
                <w:rFonts w:eastAsia="Calibri" w:cs="Times New Roman"/>
                <w:sz w:val="24"/>
                <w:szCs w:val="24"/>
                <w:lang w:val="en-US" w:eastAsia="ru-RU"/>
              </w:rPr>
              <w:t> </w:t>
            </w: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августа 2017 г. № 1135/17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Уровень напряжения:            до 1 </w:t>
            </w:r>
            <w:proofErr w:type="spellStart"/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Уровень напряжения:              6-10 </w:t>
            </w:r>
            <w:proofErr w:type="spellStart"/>
            <w:r w:rsidRPr="002217C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С2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воздушных линий по существующим опорам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2 377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воздушных линий с установкой опор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17 581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С3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строительство кабельных линий в траншеях, в </w:t>
            </w:r>
            <w:proofErr w:type="spellStart"/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>. методом горизонтально-направленного бурения.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2 636</w:t>
            </w:r>
          </w:p>
        </w:tc>
      </w:tr>
      <w:tr w:rsidR="002217C6" w:rsidRPr="002217C6" w:rsidTr="00B7463D">
        <w:trPr>
          <w:trHeight w:val="35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С4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6 257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С5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  <w:t>maxN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17C6">
              <w:rPr>
                <w:rFonts w:eastAsia="Times New Roman" w:cs="Times New Roman"/>
                <w:sz w:val="22"/>
                <w:lang w:eastAsia="ru-RU"/>
              </w:rPr>
              <w:t>строительство трансформаторных подстанций</w:t>
            </w: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за исключением распределительных трансформаторных подстанций, с уровнем напряжения до 35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СТП 16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20 978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СТП 25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19 894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СТП 40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14 920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СТП 63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8 760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СТП 100 </w:t>
            </w:r>
            <w:proofErr w:type="spellStart"/>
            <w:r w:rsidRPr="002217C6">
              <w:rPr>
                <w:rFonts w:eastAsia="Calibri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6 941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СТП 160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4 838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СТП 250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3 830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25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29 573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40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22 870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63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18 643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100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8 203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160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5 696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250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5 077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400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2 957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630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2 453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КТПН 1000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2 139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160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30 086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250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17 230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400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12 428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630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8 590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1000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5 954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1250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4 830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5 272</w:t>
            </w:r>
          </w:p>
        </w:tc>
      </w:tr>
      <w:tr w:rsidR="002217C6" w:rsidRPr="002217C6" w:rsidTr="00B7463D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217C6" w:rsidRPr="002217C6" w:rsidRDefault="002217C6" w:rsidP="002217C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БКТП 2500 </w:t>
            </w:r>
            <w:proofErr w:type="spellStart"/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17C6" w:rsidRPr="002217C6" w:rsidRDefault="002217C6" w:rsidP="002217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7C6">
              <w:rPr>
                <w:rFonts w:eastAsia="Times New Roman" w:cs="Times New Roman"/>
                <w:sz w:val="24"/>
                <w:szCs w:val="24"/>
                <w:lang w:eastAsia="ru-RU"/>
              </w:rPr>
              <w:t>4 431</w:t>
            </w:r>
          </w:p>
        </w:tc>
      </w:tr>
    </w:tbl>
    <w:p w:rsidR="002217C6" w:rsidRPr="002217C6" w:rsidRDefault="002217C6" w:rsidP="002217C6">
      <w:pPr>
        <w:rPr>
          <w:rFonts w:eastAsia="Times New Roman" w:cs="Times New Roman"/>
          <w:sz w:val="24"/>
          <w:szCs w:val="28"/>
          <w:lang w:val="en-US" w:eastAsia="ru-RU"/>
        </w:rPr>
      </w:pPr>
    </w:p>
    <w:p w:rsidR="002217C6" w:rsidRPr="002217C6" w:rsidRDefault="002217C6" w:rsidP="002217C6">
      <w:pPr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2217C6">
        <w:rPr>
          <w:rFonts w:eastAsia="Times New Roman" w:cs="Times New Roman"/>
          <w:sz w:val="24"/>
          <w:szCs w:val="28"/>
          <w:lang w:eastAsia="ru-RU"/>
        </w:rPr>
        <w:t>Примечание.</w:t>
      </w:r>
    </w:p>
    <w:p w:rsidR="002217C6" w:rsidRPr="002217C6" w:rsidRDefault="002217C6" w:rsidP="002217C6">
      <w:pPr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2217C6">
        <w:rPr>
          <w:rFonts w:eastAsia="Times New Roman" w:cs="Times New Roman"/>
          <w:sz w:val="24"/>
          <w:szCs w:val="28"/>
          <w:vertAlign w:val="superscript"/>
          <w:lang w:eastAsia="ru-RU"/>
        </w:rPr>
        <w:t xml:space="preserve"> &lt;1&gt;</w:t>
      </w:r>
      <w:r w:rsidRPr="002217C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2217C6">
        <w:rPr>
          <w:rFonts w:eastAsia="Times New Roman" w:cs="Times New Roman"/>
          <w:sz w:val="24"/>
          <w:szCs w:val="24"/>
          <w:lang w:eastAsia="ru-RU"/>
        </w:rPr>
        <w:t>Ставки за единицу максимальной мощности,</w:t>
      </w:r>
      <w:r w:rsidRPr="002217C6">
        <w:rPr>
          <w:rFonts w:eastAsia="Times New Roman" w:cs="Times New Roman"/>
          <w:sz w:val="24"/>
          <w:szCs w:val="28"/>
          <w:lang w:eastAsia="ru-RU"/>
        </w:rPr>
        <w:t xml:space="preserve"> установленные настоящим приложением, рассчитаны в ценах года регулирования. </w:t>
      </w:r>
      <w:r w:rsidRPr="002217C6">
        <w:rPr>
          <w:rFonts w:eastAsia="Times New Roman" w:cs="Times New Roman"/>
          <w:sz w:val="24"/>
          <w:szCs w:val="24"/>
          <w:lang w:eastAsia="ru-RU"/>
        </w:rPr>
        <w:t>Ставки за единицу максимальной мощности</w:t>
      </w:r>
      <w:r w:rsidRPr="002217C6">
        <w:rPr>
          <w:rFonts w:eastAsia="Times New Roman" w:cs="Times New Roman"/>
          <w:sz w:val="24"/>
          <w:szCs w:val="28"/>
          <w:lang w:eastAsia="ru-RU"/>
        </w:rPr>
        <w:t xml:space="preserve"> применяются для случаев технологического присоединения на территории городских населенных пунктов и территорий, не относящихся к территориям городских населенных пунктов.</w:t>
      </w:r>
    </w:p>
    <w:p w:rsidR="002217C6" w:rsidRPr="002217C6" w:rsidRDefault="002217C6" w:rsidP="002217C6">
      <w:pPr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2217C6">
        <w:rPr>
          <w:rFonts w:eastAsia="Times New Roman" w:cs="Times New Roman"/>
          <w:sz w:val="24"/>
          <w:szCs w:val="24"/>
          <w:vertAlign w:val="superscript"/>
          <w:lang w:eastAsia="ru-RU"/>
        </w:rPr>
        <w:t>&lt;2&gt;</w:t>
      </w:r>
      <w:r w:rsidRPr="002217C6">
        <w:rPr>
          <w:rFonts w:eastAsia="Times New Roman" w:cs="Times New Roman"/>
          <w:sz w:val="24"/>
          <w:szCs w:val="24"/>
          <w:lang w:eastAsia="ru-RU"/>
        </w:rPr>
        <w:t xml:space="preserve"> Ставки за единицу максимальной мощности</w:t>
      </w:r>
      <w:r w:rsidRPr="002217C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2217C6">
        <w:rPr>
          <w:rFonts w:eastAsia="Times New Roman" w:cs="Times New Roman"/>
          <w:sz w:val="24"/>
          <w:szCs w:val="24"/>
          <w:lang w:eastAsia="ru-RU"/>
        </w:rPr>
        <w:t>применяются для временной схемы электроснабжения, в том числе для обеспечения электрической энергией передвижных энергопринимающих устройств с максимальной мощностью до 150 к</w:t>
      </w:r>
      <w:proofErr w:type="gramStart"/>
      <w:r w:rsidRPr="002217C6">
        <w:rPr>
          <w:rFonts w:eastAsia="Times New Roman" w:cs="Times New Roman"/>
          <w:sz w:val="24"/>
          <w:szCs w:val="24"/>
          <w:lang w:eastAsia="ru-RU"/>
        </w:rPr>
        <w:t>Вт вкл</w:t>
      </w:r>
      <w:proofErr w:type="gramEnd"/>
      <w:r w:rsidRPr="002217C6">
        <w:rPr>
          <w:rFonts w:eastAsia="Times New Roman" w:cs="Times New Roman"/>
          <w:sz w:val="24"/>
          <w:szCs w:val="24"/>
          <w:lang w:eastAsia="ru-RU"/>
        </w:rPr>
        <w:t>ючительно (с учетом мощности ранее присоединенных в данной точке присоединения энергопринимающих устройств), и для постоянной схемы электроснабжения.</w:t>
      </w:r>
    </w:p>
    <w:p w:rsidR="00F32476" w:rsidRPr="002217C6" w:rsidRDefault="00F32476" w:rsidP="00F324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77A9B" w:rsidRPr="00377A9B" w:rsidRDefault="001F364D" w:rsidP="00F32476">
      <w:pPr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="002217C6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Постановление Госкомитета от 18</w:t>
        </w:r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.1</w:t>
        </w:r>
        <w:r w:rsidR="002217C6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2</w:t>
        </w:r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.201</w:t>
        </w:r>
        <w:r w:rsidR="002217C6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9</w:t>
        </w:r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 xml:space="preserve"> № 6-1</w:t>
        </w:r>
        <w:r w:rsidR="002217C6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40</w:t>
        </w:r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/</w:t>
        </w:r>
        <w:proofErr w:type="spellStart"/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тп</w:t>
        </w:r>
        <w:proofErr w:type="spellEnd"/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 xml:space="preserve"> "Об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</w:t>
        </w:r>
        <w:r w:rsidR="002217C6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>20</w:t>
        </w:r>
        <w:r w:rsidR="00377A9B" w:rsidRPr="002217C6">
          <w:rPr>
            <w:rStyle w:val="a9"/>
            <w:rFonts w:eastAsia="Times New Roman" w:cs="Times New Roman"/>
            <w:sz w:val="24"/>
            <w:szCs w:val="24"/>
            <w:lang w:eastAsia="ru-RU"/>
          </w:rPr>
          <w:t xml:space="preserve"> год"</w:t>
        </w:r>
      </w:hyperlink>
    </w:p>
    <w:sectPr w:rsidR="00377A9B" w:rsidRPr="00377A9B" w:rsidSect="00F32476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4D" w:rsidRDefault="001F364D" w:rsidP="00FC0CDA">
      <w:r>
        <w:separator/>
      </w:r>
    </w:p>
  </w:endnote>
  <w:endnote w:type="continuationSeparator" w:id="0">
    <w:p w:rsidR="001F364D" w:rsidRDefault="001F364D" w:rsidP="00F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4D" w:rsidRDefault="001F364D" w:rsidP="00FC0CDA">
      <w:r>
        <w:separator/>
      </w:r>
    </w:p>
  </w:footnote>
  <w:footnote w:type="continuationSeparator" w:id="0">
    <w:p w:rsidR="001F364D" w:rsidRDefault="001F364D" w:rsidP="00FC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DE4"/>
    <w:multiLevelType w:val="hybridMultilevel"/>
    <w:tmpl w:val="AACCCB28"/>
    <w:lvl w:ilvl="0" w:tplc="ABD240AE">
      <w:start w:val="7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2" w:hanging="360"/>
      </w:pPr>
    </w:lvl>
    <w:lvl w:ilvl="2" w:tplc="0419001B" w:tentative="1">
      <w:start w:val="1"/>
      <w:numFmt w:val="lowerRoman"/>
      <w:lvlText w:val="%3."/>
      <w:lvlJc w:val="right"/>
      <w:pPr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>
    <w:nsid w:val="066B6EBD"/>
    <w:multiLevelType w:val="hybridMultilevel"/>
    <w:tmpl w:val="823259DC"/>
    <w:lvl w:ilvl="0" w:tplc="3E1C0D32">
      <w:start w:val="88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D6920A4"/>
    <w:multiLevelType w:val="hybridMultilevel"/>
    <w:tmpl w:val="DBC46966"/>
    <w:lvl w:ilvl="0" w:tplc="CEC637BE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EE754C6"/>
    <w:multiLevelType w:val="hybridMultilevel"/>
    <w:tmpl w:val="D4F20788"/>
    <w:lvl w:ilvl="0" w:tplc="04DCBF64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42B630C"/>
    <w:multiLevelType w:val="hybridMultilevel"/>
    <w:tmpl w:val="3F6EB6F0"/>
    <w:lvl w:ilvl="0" w:tplc="9E104310">
      <w:start w:val="47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CB5069B"/>
    <w:multiLevelType w:val="hybridMultilevel"/>
    <w:tmpl w:val="34D66EEE"/>
    <w:lvl w:ilvl="0" w:tplc="D9CC0C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F81DD4"/>
    <w:multiLevelType w:val="hybridMultilevel"/>
    <w:tmpl w:val="8EBC278E"/>
    <w:lvl w:ilvl="0" w:tplc="DB2A88F4">
      <w:start w:val="3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4"/>
    <w:rsid w:val="00020C03"/>
    <w:rsid w:val="000260FE"/>
    <w:rsid w:val="000354CD"/>
    <w:rsid w:val="00054FB8"/>
    <w:rsid w:val="00055968"/>
    <w:rsid w:val="00087A57"/>
    <w:rsid w:val="000A2BBD"/>
    <w:rsid w:val="000C0E50"/>
    <w:rsid w:val="000C1237"/>
    <w:rsid w:val="000D76B3"/>
    <w:rsid w:val="000E3C43"/>
    <w:rsid w:val="00133584"/>
    <w:rsid w:val="00194A41"/>
    <w:rsid w:val="001B4311"/>
    <w:rsid w:val="001C3295"/>
    <w:rsid w:val="001F364D"/>
    <w:rsid w:val="002009C9"/>
    <w:rsid w:val="00213F7A"/>
    <w:rsid w:val="002217C6"/>
    <w:rsid w:val="00225BE5"/>
    <w:rsid w:val="00251A99"/>
    <w:rsid w:val="00260675"/>
    <w:rsid w:val="00281C32"/>
    <w:rsid w:val="002A1687"/>
    <w:rsid w:val="002C6FCA"/>
    <w:rsid w:val="002F10BC"/>
    <w:rsid w:val="00306C14"/>
    <w:rsid w:val="003159D2"/>
    <w:rsid w:val="00326611"/>
    <w:rsid w:val="00350E87"/>
    <w:rsid w:val="00351B88"/>
    <w:rsid w:val="00355D27"/>
    <w:rsid w:val="00374DB3"/>
    <w:rsid w:val="00377A9B"/>
    <w:rsid w:val="00394A77"/>
    <w:rsid w:val="0039601C"/>
    <w:rsid w:val="003C2784"/>
    <w:rsid w:val="00427C94"/>
    <w:rsid w:val="0043392D"/>
    <w:rsid w:val="00450555"/>
    <w:rsid w:val="0048337F"/>
    <w:rsid w:val="00484745"/>
    <w:rsid w:val="004A1B81"/>
    <w:rsid w:val="004B2E8D"/>
    <w:rsid w:val="004C4A74"/>
    <w:rsid w:val="004D19F2"/>
    <w:rsid w:val="004D5DB3"/>
    <w:rsid w:val="00524C49"/>
    <w:rsid w:val="00567EE8"/>
    <w:rsid w:val="00575A77"/>
    <w:rsid w:val="00595068"/>
    <w:rsid w:val="00603991"/>
    <w:rsid w:val="00652011"/>
    <w:rsid w:val="006A3D7D"/>
    <w:rsid w:val="006D20F8"/>
    <w:rsid w:val="006E1D72"/>
    <w:rsid w:val="00700635"/>
    <w:rsid w:val="00701624"/>
    <w:rsid w:val="00713632"/>
    <w:rsid w:val="00726411"/>
    <w:rsid w:val="00760B0D"/>
    <w:rsid w:val="00762807"/>
    <w:rsid w:val="007C0B25"/>
    <w:rsid w:val="008027D5"/>
    <w:rsid w:val="008143DA"/>
    <w:rsid w:val="008324D5"/>
    <w:rsid w:val="008700AE"/>
    <w:rsid w:val="008851EE"/>
    <w:rsid w:val="008A40E9"/>
    <w:rsid w:val="008F1E03"/>
    <w:rsid w:val="00964EB4"/>
    <w:rsid w:val="0096601B"/>
    <w:rsid w:val="009803F9"/>
    <w:rsid w:val="009C2AD3"/>
    <w:rsid w:val="009C6973"/>
    <w:rsid w:val="009E7F3D"/>
    <w:rsid w:val="00A37C05"/>
    <w:rsid w:val="00A43CE9"/>
    <w:rsid w:val="00AC3EB9"/>
    <w:rsid w:val="00AE6888"/>
    <w:rsid w:val="00AF6CBA"/>
    <w:rsid w:val="00B240E6"/>
    <w:rsid w:val="00B353EF"/>
    <w:rsid w:val="00BA5BD0"/>
    <w:rsid w:val="00BD17DE"/>
    <w:rsid w:val="00C51E23"/>
    <w:rsid w:val="00C55DD9"/>
    <w:rsid w:val="00C86420"/>
    <w:rsid w:val="00CA225D"/>
    <w:rsid w:val="00CD7BB4"/>
    <w:rsid w:val="00CE084C"/>
    <w:rsid w:val="00CF2A3B"/>
    <w:rsid w:val="00D05E5B"/>
    <w:rsid w:val="00D73E98"/>
    <w:rsid w:val="00D85C8B"/>
    <w:rsid w:val="00E57B07"/>
    <w:rsid w:val="00E71D2D"/>
    <w:rsid w:val="00F2250E"/>
    <w:rsid w:val="00F32476"/>
    <w:rsid w:val="00F52E4D"/>
    <w:rsid w:val="00F77318"/>
    <w:rsid w:val="00F8493A"/>
    <w:rsid w:val="00F94B64"/>
    <w:rsid w:val="00FC0CDA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3584"/>
    <w:pPr>
      <w:keepNext/>
      <w:jc w:val="center"/>
      <w:outlineLvl w:val="0"/>
    </w:pPr>
    <w:rPr>
      <w:rFonts w:eastAsia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584"/>
    <w:pPr>
      <w:keepNext/>
      <w:spacing w:line="360" w:lineRule="auto"/>
      <w:jc w:val="right"/>
      <w:outlineLvl w:val="1"/>
    </w:pPr>
    <w:rPr>
      <w:rFonts w:eastAsia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3584"/>
    <w:pPr>
      <w:keepNext/>
      <w:spacing w:line="360" w:lineRule="auto"/>
      <w:jc w:val="center"/>
      <w:outlineLvl w:val="2"/>
    </w:pPr>
    <w:rPr>
      <w:rFonts w:eastAsia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3584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rFonts w:eastAsia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3584"/>
    <w:pPr>
      <w:keepNext/>
      <w:jc w:val="center"/>
      <w:outlineLvl w:val="4"/>
    </w:pPr>
    <w:rPr>
      <w:rFonts w:eastAsia="Times New Roman" w:cs="Times New Roman"/>
      <w:b/>
      <w:caps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3584"/>
    <w:pPr>
      <w:keepNext/>
      <w:jc w:val="center"/>
      <w:outlineLvl w:val="5"/>
    </w:pPr>
    <w:rPr>
      <w:rFonts w:eastAsia="Times New Roman" w:cs="Times New Roman"/>
      <w:b/>
      <w:cap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3584"/>
    <w:pPr>
      <w:keepNext/>
      <w:ind w:left="34"/>
      <w:jc w:val="center"/>
      <w:outlineLvl w:val="6"/>
    </w:pPr>
    <w:rPr>
      <w:rFonts w:eastAsia="Times New Roman" w:cs="Times New Roman"/>
      <w:b/>
      <w:caps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3584"/>
    <w:pPr>
      <w:keepNext/>
      <w:spacing w:line="360" w:lineRule="auto"/>
      <w:jc w:val="center"/>
      <w:outlineLvl w:val="7"/>
    </w:pPr>
    <w:rPr>
      <w:rFonts w:eastAsia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3584"/>
    <w:pPr>
      <w:keepNext/>
      <w:ind w:firstLine="34"/>
      <w:jc w:val="center"/>
      <w:outlineLvl w:val="8"/>
    </w:pPr>
    <w:rPr>
      <w:rFonts w:eastAsia="Times New Roman" w:cs="Times New Roman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5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84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3584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584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5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358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semiHidden/>
    <w:rsid w:val="00133584"/>
  </w:style>
  <w:style w:type="paragraph" w:styleId="a3">
    <w:name w:val="Body Text"/>
    <w:basedOn w:val="a"/>
    <w:link w:val="a4"/>
    <w:rsid w:val="00133584"/>
    <w:pPr>
      <w:jc w:val="center"/>
    </w:pPr>
    <w:rPr>
      <w:rFonts w:eastAsia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35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33584"/>
    <w:pPr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5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133584"/>
    <w:pPr>
      <w:jc w:val="center"/>
    </w:pPr>
    <w:rPr>
      <w:rFonts w:eastAsia="Times New Roman" w:cs="Times New Roman"/>
      <w:b/>
      <w:caps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358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5">
    <w:name w:val="header"/>
    <w:basedOn w:val="a"/>
    <w:link w:val="a6"/>
    <w:rsid w:val="00133584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33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3358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35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133584"/>
    <w:rPr>
      <w:color w:val="0000FF"/>
      <w:u w:val="single"/>
    </w:rPr>
  </w:style>
  <w:style w:type="table" w:styleId="aa">
    <w:name w:val="Table Grid"/>
    <w:basedOn w:val="a1"/>
    <w:rsid w:val="00133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qFormat/>
    <w:rsid w:val="00133584"/>
    <w:rPr>
      <w:i/>
      <w:iCs/>
    </w:rPr>
  </w:style>
  <w:style w:type="paragraph" w:customStyle="1" w:styleId="ac">
    <w:name w:val="Знак Знак Знак Знак Знак Знак Знак"/>
    <w:basedOn w:val="a"/>
    <w:rsid w:val="00133584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harCharChar">
    <w:name w:val="Char Знак Знак Char Знак Знак Char"/>
    <w:basedOn w:val="a"/>
    <w:rsid w:val="00133584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14">
    <w:name w:val="Обычный + 14 пт"/>
    <w:aliases w:val="По ширине,Первая строка:  1.25 см"/>
    <w:basedOn w:val="a"/>
    <w:rsid w:val="00133584"/>
    <w:pPr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13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33584"/>
  </w:style>
  <w:style w:type="paragraph" w:customStyle="1" w:styleId="ConsPlusNonformat">
    <w:name w:val="ConsPlusNonformat"/>
    <w:rsid w:val="00133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133584"/>
  </w:style>
  <w:style w:type="table" w:customStyle="1" w:styleId="41">
    <w:name w:val="Сетка таблицы4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3358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40E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C0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0CDA"/>
    <w:rPr>
      <w:rFonts w:ascii="Times New Roman" w:hAnsi="Times New Roman"/>
      <w:sz w:val="28"/>
    </w:rPr>
  </w:style>
  <w:style w:type="character" w:styleId="af2">
    <w:name w:val="FollowedHyperlink"/>
    <w:basedOn w:val="a0"/>
    <w:uiPriority w:val="99"/>
    <w:semiHidden/>
    <w:unhideWhenUsed/>
    <w:rsid w:val="00020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3584"/>
    <w:pPr>
      <w:keepNext/>
      <w:jc w:val="center"/>
      <w:outlineLvl w:val="0"/>
    </w:pPr>
    <w:rPr>
      <w:rFonts w:eastAsia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584"/>
    <w:pPr>
      <w:keepNext/>
      <w:spacing w:line="360" w:lineRule="auto"/>
      <w:jc w:val="right"/>
      <w:outlineLvl w:val="1"/>
    </w:pPr>
    <w:rPr>
      <w:rFonts w:eastAsia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3584"/>
    <w:pPr>
      <w:keepNext/>
      <w:spacing w:line="360" w:lineRule="auto"/>
      <w:jc w:val="center"/>
      <w:outlineLvl w:val="2"/>
    </w:pPr>
    <w:rPr>
      <w:rFonts w:eastAsia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3584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rFonts w:eastAsia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3584"/>
    <w:pPr>
      <w:keepNext/>
      <w:jc w:val="center"/>
      <w:outlineLvl w:val="4"/>
    </w:pPr>
    <w:rPr>
      <w:rFonts w:eastAsia="Times New Roman" w:cs="Times New Roman"/>
      <w:b/>
      <w:caps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3584"/>
    <w:pPr>
      <w:keepNext/>
      <w:jc w:val="center"/>
      <w:outlineLvl w:val="5"/>
    </w:pPr>
    <w:rPr>
      <w:rFonts w:eastAsia="Times New Roman" w:cs="Times New Roman"/>
      <w:b/>
      <w:cap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3584"/>
    <w:pPr>
      <w:keepNext/>
      <w:ind w:left="34"/>
      <w:jc w:val="center"/>
      <w:outlineLvl w:val="6"/>
    </w:pPr>
    <w:rPr>
      <w:rFonts w:eastAsia="Times New Roman" w:cs="Times New Roman"/>
      <w:b/>
      <w:caps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3584"/>
    <w:pPr>
      <w:keepNext/>
      <w:spacing w:line="360" w:lineRule="auto"/>
      <w:jc w:val="center"/>
      <w:outlineLvl w:val="7"/>
    </w:pPr>
    <w:rPr>
      <w:rFonts w:eastAsia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3584"/>
    <w:pPr>
      <w:keepNext/>
      <w:ind w:firstLine="34"/>
      <w:jc w:val="center"/>
      <w:outlineLvl w:val="8"/>
    </w:pPr>
    <w:rPr>
      <w:rFonts w:eastAsia="Times New Roman" w:cs="Times New Roman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5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84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3584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584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5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358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3584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semiHidden/>
    <w:rsid w:val="00133584"/>
  </w:style>
  <w:style w:type="paragraph" w:styleId="a3">
    <w:name w:val="Body Text"/>
    <w:basedOn w:val="a"/>
    <w:link w:val="a4"/>
    <w:rsid w:val="00133584"/>
    <w:pPr>
      <w:jc w:val="center"/>
    </w:pPr>
    <w:rPr>
      <w:rFonts w:eastAsia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35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33584"/>
    <w:pPr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5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133584"/>
    <w:pPr>
      <w:jc w:val="center"/>
    </w:pPr>
    <w:rPr>
      <w:rFonts w:eastAsia="Times New Roman" w:cs="Times New Roman"/>
      <w:b/>
      <w:caps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358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5">
    <w:name w:val="header"/>
    <w:basedOn w:val="a"/>
    <w:link w:val="a6"/>
    <w:rsid w:val="00133584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33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3358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35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133584"/>
    <w:rPr>
      <w:color w:val="0000FF"/>
      <w:u w:val="single"/>
    </w:rPr>
  </w:style>
  <w:style w:type="table" w:styleId="aa">
    <w:name w:val="Table Grid"/>
    <w:basedOn w:val="a1"/>
    <w:rsid w:val="00133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qFormat/>
    <w:rsid w:val="00133584"/>
    <w:rPr>
      <w:i/>
      <w:iCs/>
    </w:rPr>
  </w:style>
  <w:style w:type="paragraph" w:customStyle="1" w:styleId="ac">
    <w:name w:val="Знак Знак Знак Знак Знак Знак Знак"/>
    <w:basedOn w:val="a"/>
    <w:rsid w:val="00133584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harCharChar">
    <w:name w:val="Char Знак Знак Char Знак Знак Char"/>
    <w:basedOn w:val="a"/>
    <w:rsid w:val="00133584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14">
    <w:name w:val="Обычный + 14 пт"/>
    <w:aliases w:val="По ширине,Первая строка:  1.25 см"/>
    <w:basedOn w:val="a"/>
    <w:rsid w:val="00133584"/>
    <w:pPr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13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33584"/>
  </w:style>
  <w:style w:type="paragraph" w:customStyle="1" w:styleId="ConsPlusNonformat">
    <w:name w:val="ConsPlusNonformat"/>
    <w:rsid w:val="00133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133584"/>
  </w:style>
  <w:style w:type="table" w:customStyle="1" w:styleId="41">
    <w:name w:val="Сетка таблицы4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3358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a"/>
    <w:rsid w:val="0013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40E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C0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0CDA"/>
    <w:rPr>
      <w:rFonts w:ascii="Times New Roman" w:hAnsi="Times New Roman"/>
      <w:sz w:val="28"/>
    </w:rPr>
  </w:style>
  <w:style w:type="character" w:styleId="af2">
    <w:name w:val="FollowedHyperlink"/>
    <w:basedOn w:val="a0"/>
    <w:uiPriority w:val="99"/>
    <w:semiHidden/>
    <w:unhideWhenUsed/>
    <w:rsid w:val="00020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rus/file/pub/pub_21670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9045-A5EB-458F-8369-410896C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Витальевна Алексеева</dc:creator>
  <cp:lastModifiedBy>Дмитриева Ксения Витальевна</cp:lastModifiedBy>
  <cp:revision>3</cp:revision>
  <cp:lastPrinted>2016-04-29T09:49:00Z</cp:lastPrinted>
  <dcterms:created xsi:type="dcterms:W3CDTF">2019-12-28T07:42:00Z</dcterms:created>
  <dcterms:modified xsi:type="dcterms:W3CDTF">2019-12-28T07:56:00Z</dcterms:modified>
</cp:coreProperties>
</file>