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77" w:rsidRDefault="00657F77" w:rsidP="00785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D7998" w:rsidRDefault="00AD7998" w:rsidP="00785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B6157" w:rsidRPr="006166E3" w:rsidRDefault="00CA63F9" w:rsidP="00785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66E3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7B6157" w:rsidRPr="006166E3" w:rsidRDefault="00CA63F9" w:rsidP="007B61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66E3">
        <w:rPr>
          <w:rFonts w:ascii="Times New Roman" w:hAnsi="Times New Roman"/>
          <w:b/>
          <w:sz w:val="24"/>
          <w:szCs w:val="24"/>
        </w:rPr>
        <w:t xml:space="preserve"> о </w:t>
      </w:r>
      <w:r w:rsidR="00512914" w:rsidRPr="006166E3">
        <w:rPr>
          <w:rFonts w:ascii="Times New Roman" w:hAnsi="Times New Roman"/>
          <w:b/>
          <w:sz w:val="24"/>
          <w:szCs w:val="24"/>
        </w:rPr>
        <w:t>ходе выполнения</w:t>
      </w:r>
      <w:r w:rsidR="00785122" w:rsidRPr="006166E3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59BA" w:rsidRPr="006166E3">
        <w:rPr>
          <w:rFonts w:ascii="Times New Roman" w:hAnsi="Times New Roman"/>
          <w:b/>
          <w:sz w:val="24"/>
          <w:szCs w:val="24"/>
        </w:rPr>
        <w:t xml:space="preserve"> </w:t>
      </w:r>
      <w:r w:rsidR="005204D6">
        <w:rPr>
          <w:rFonts w:ascii="Times New Roman" w:hAnsi="Times New Roman"/>
          <w:b/>
          <w:sz w:val="24"/>
          <w:szCs w:val="24"/>
        </w:rPr>
        <w:t>г</w:t>
      </w:r>
      <w:r w:rsidR="00043EE3" w:rsidRPr="006166E3">
        <w:rPr>
          <w:rFonts w:ascii="Times New Roman" w:hAnsi="Times New Roman"/>
          <w:b/>
          <w:sz w:val="24"/>
          <w:szCs w:val="24"/>
        </w:rPr>
        <w:t xml:space="preserve">осударственной программы «Развитие государственной гражданской службы </w:t>
      </w:r>
    </w:p>
    <w:p w:rsidR="007B6157" w:rsidRPr="006166E3" w:rsidRDefault="00043EE3" w:rsidP="007B61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66E3">
        <w:rPr>
          <w:rFonts w:ascii="Times New Roman" w:hAnsi="Times New Roman"/>
          <w:b/>
          <w:sz w:val="24"/>
          <w:szCs w:val="24"/>
        </w:rPr>
        <w:t xml:space="preserve">Республики Татарстан и муниципальной службы в Республике Татарстан на 2014 – 2016 годы» </w:t>
      </w:r>
    </w:p>
    <w:p w:rsidR="005204D6" w:rsidRDefault="005204D6" w:rsidP="007B61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Государственном </w:t>
      </w:r>
      <w:proofErr w:type="gramStart"/>
      <w:r>
        <w:rPr>
          <w:rFonts w:ascii="Times New Roman" w:hAnsi="Times New Roman"/>
          <w:b/>
          <w:sz w:val="24"/>
          <w:szCs w:val="24"/>
        </w:rPr>
        <w:t>комитете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Республики Татарстан по тарифам</w:t>
      </w:r>
    </w:p>
    <w:p w:rsidR="007559BA" w:rsidRPr="006166E3" w:rsidRDefault="005204D6" w:rsidP="007B61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785122" w:rsidRPr="006166E3">
        <w:rPr>
          <w:rFonts w:ascii="Times New Roman" w:hAnsi="Times New Roman"/>
          <w:b/>
          <w:sz w:val="24"/>
          <w:szCs w:val="24"/>
        </w:rPr>
        <w:t xml:space="preserve"> </w:t>
      </w:r>
      <w:r w:rsidR="004D069E">
        <w:rPr>
          <w:rFonts w:ascii="Times New Roman" w:hAnsi="Times New Roman"/>
          <w:b/>
          <w:sz w:val="24"/>
          <w:szCs w:val="24"/>
        </w:rPr>
        <w:t>первое полугодие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5122" w:rsidRPr="006166E3">
        <w:rPr>
          <w:rFonts w:ascii="Times New Roman" w:hAnsi="Times New Roman"/>
          <w:b/>
          <w:sz w:val="24"/>
          <w:szCs w:val="24"/>
        </w:rPr>
        <w:t>2014 года</w:t>
      </w:r>
    </w:p>
    <w:p w:rsidR="00FB4998" w:rsidRDefault="00FB4998" w:rsidP="007851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984"/>
        <w:gridCol w:w="3261"/>
        <w:gridCol w:w="6378"/>
      </w:tblGrid>
      <w:tr w:rsidR="00785122" w:rsidRPr="00B25DB5" w:rsidTr="002241E5">
        <w:trPr>
          <w:trHeight w:val="6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22" w:rsidRPr="00B25DB5" w:rsidRDefault="00785122" w:rsidP="000F36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22" w:rsidRDefault="00785122" w:rsidP="000F36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Наименование</w:t>
            </w:r>
          </w:p>
          <w:p w:rsidR="00785122" w:rsidRDefault="00785122" w:rsidP="000F36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основного</w:t>
            </w:r>
          </w:p>
          <w:p w:rsidR="00785122" w:rsidRPr="00B25DB5" w:rsidRDefault="00785122" w:rsidP="000F36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 xml:space="preserve"> мероприя</w:t>
            </w:r>
            <w:r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22" w:rsidRDefault="00785122" w:rsidP="000F36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Сроки выполнения</w:t>
            </w:r>
          </w:p>
          <w:p w:rsidR="00785122" w:rsidRDefault="00785122" w:rsidP="000F36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основных</w:t>
            </w:r>
          </w:p>
          <w:p w:rsidR="00785122" w:rsidRPr="00B25DB5" w:rsidRDefault="00785122" w:rsidP="000F36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</w:t>
            </w:r>
            <w:r w:rsidRPr="00B25DB5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22" w:rsidRDefault="00785122" w:rsidP="000F36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Индикаторы оценки</w:t>
            </w:r>
          </w:p>
          <w:p w:rsidR="00785122" w:rsidRPr="00B25DB5" w:rsidRDefault="00785122" w:rsidP="000F36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конечных результатов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122" w:rsidRPr="00B25DB5" w:rsidRDefault="00785122" w:rsidP="000F36B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</w:tr>
      <w:tr w:rsidR="00864782" w:rsidRPr="00B25DB5" w:rsidTr="00657F77">
        <w:trPr>
          <w:trHeight w:val="690"/>
          <w:tblCellSpacing w:w="5" w:type="nil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82" w:rsidRPr="00864782" w:rsidRDefault="00864782" w:rsidP="00657F7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864782">
              <w:rPr>
                <w:b/>
                <w:sz w:val="24"/>
                <w:szCs w:val="24"/>
              </w:rPr>
              <w:t>Цель: «Повышение эффективности исполнения государственными  органами  Республики Татарстан (далее - государственные органы)  и органами местного самоуправления в Республике Татарстан (далее – органы местного самоуправления) возложенных на них полномочий»</w:t>
            </w:r>
          </w:p>
        </w:tc>
      </w:tr>
      <w:tr w:rsidR="00864782" w:rsidRPr="00B25DB5" w:rsidTr="00864782">
        <w:trPr>
          <w:trHeight w:val="521"/>
          <w:tblCellSpacing w:w="5" w:type="nil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82" w:rsidRPr="00864782" w:rsidRDefault="00864782" w:rsidP="00657F7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864782">
              <w:rPr>
                <w:b/>
                <w:sz w:val="24"/>
                <w:szCs w:val="24"/>
              </w:rPr>
              <w:t>Задача: «Повышение результативности деятельности аппаратов государственных органов и органов местного самоуправления, в том числе через совершенствование их организационной структуры и штатной численности»</w:t>
            </w:r>
          </w:p>
        </w:tc>
      </w:tr>
      <w:tr w:rsidR="00864782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864782" w:rsidRPr="000F32FB" w:rsidRDefault="00864782" w:rsidP="000F36B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4782" w:rsidRPr="000F32FB" w:rsidRDefault="00864782" w:rsidP="00043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F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32FB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32FB">
              <w:rPr>
                <w:rFonts w:ascii="Times New Roman" w:hAnsi="Times New Roman"/>
                <w:sz w:val="24"/>
                <w:szCs w:val="24"/>
              </w:rPr>
              <w:t xml:space="preserve"> структ</w:t>
            </w:r>
            <w:r w:rsidRPr="000F3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0F32FB">
              <w:rPr>
                <w:rFonts w:ascii="Times New Roman" w:hAnsi="Times New Roman"/>
                <w:sz w:val="24"/>
                <w:szCs w:val="24"/>
              </w:rPr>
              <w:t>ры аппаратов государстве</w:t>
            </w:r>
            <w:r w:rsidRPr="000F3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0F32FB">
              <w:rPr>
                <w:rFonts w:ascii="Times New Roman" w:hAnsi="Times New Roman"/>
                <w:sz w:val="24"/>
                <w:szCs w:val="24"/>
              </w:rPr>
              <w:t>ных органов и органов мес</w:t>
            </w:r>
            <w:r w:rsidRPr="000F3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0F32FB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1984" w:type="dxa"/>
          </w:tcPr>
          <w:p w:rsidR="00864782" w:rsidRPr="000F32FB" w:rsidRDefault="00864782" w:rsidP="00AC0AF6">
            <w:pPr>
              <w:pStyle w:val="ConsPlusCell"/>
              <w:jc w:val="center"/>
              <w:rPr>
                <w:sz w:val="24"/>
                <w:szCs w:val="24"/>
              </w:rPr>
            </w:pPr>
            <w:r w:rsidRPr="000F32FB">
              <w:rPr>
                <w:sz w:val="24"/>
                <w:szCs w:val="24"/>
              </w:rPr>
              <w:t>2014 год</w:t>
            </w:r>
          </w:p>
        </w:tc>
        <w:tc>
          <w:tcPr>
            <w:tcW w:w="3261" w:type="dxa"/>
          </w:tcPr>
          <w:p w:rsidR="00864782" w:rsidRPr="00444C8E" w:rsidRDefault="00864782" w:rsidP="00444C8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0F32FB">
              <w:rPr>
                <w:sz w:val="24"/>
                <w:szCs w:val="24"/>
              </w:rPr>
              <w:t xml:space="preserve"> отчета </w:t>
            </w:r>
            <w:r>
              <w:rPr>
                <w:sz w:val="24"/>
                <w:szCs w:val="24"/>
              </w:rPr>
              <w:t>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зультатам </w:t>
            </w:r>
            <w:r w:rsidRPr="000F32F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>за</w:t>
            </w:r>
            <w:r w:rsidRPr="000F32FB">
              <w:rPr>
                <w:sz w:val="24"/>
                <w:szCs w:val="24"/>
              </w:rPr>
              <w:t xml:space="preserve"> структуры аппаратов государственных органов, органов местного самоуправления, и предл</w:t>
            </w:r>
            <w:r w:rsidRPr="000F32FB">
              <w:rPr>
                <w:sz w:val="24"/>
                <w:szCs w:val="24"/>
              </w:rPr>
              <w:t>о</w:t>
            </w:r>
            <w:r w:rsidRPr="000F32FB">
              <w:rPr>
                <w:sz w:val="24"/>
                <w:szCs w:val="24"/>
              </w:rPr>
              <w:t>жений по их совершенств</w:t>
            </w:r>
            <w:r w:rsidRPr="000F32FB">
              <w:rPr>
                <w:sz w:val="24"/>
                <w:szCs w:val="24"/>
              </w:rPr>
              <w:t>о</w:t>
            </w:r>
            <w:r w:rsidRPr="000F32FB">
              <w:rPr>
                <w:sz w:val="24"/>
                <w:szCs w:val="24"/>
              </w:rPr>
              <w:t>ванию</w:t>
            </w:r>
          </w:p>
        </w:tc>
        <w:tc>
          <w:tcPr>
            <w:tcW w:w="6378" w:type="dxa"/>
          </w:tcPr>
          <w:p w:rsidR="00864782" w:rsidRPr="00BC04A0" w:rsidRDefault="00F42C0F" w:rsidP="00F42C0F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Структура Государственного комитета Республики Татарстан по тарифам утве</w:t>
            </w:r>
            <w:r w:rsidR="009438BC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рждена постановлением К</w:t>
            </w:r>
            <w:r w:rsidR="009438BC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а</w:t>
            </w:r>
            <w:r w:rsidR="009438BC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бинета М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инистров Республики Татарстан  от 15.06.2010 № 468 «Вопросы Государственного комитета Республики Татарстан по тарифам» (ред. от 31.12.2013 №1111)</w:t>
            </w:r>
          </w:p>
        </w:tc>
      </w:tr>
      <w:tr w:rsidR="00864782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864782" w:rsidRPr="00910311" w:rsidRDefault="00864782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0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864782" w:rsidRPr="009050FC" w:rsidRDefault="00864782" w:rsidP="000F3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F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050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050FC">
              <w:rPr>
                <w:rFonts w:ascii="Times New Roman" w:hAnsi="Times New Roman"/>
                <w:sz w:val="24"/>
                <w:szCs w:val="24"/>
              </w:rPr>
              <w:t xml:space="preserve"> соблюдением государстве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ными гражданскими служ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щими и муниципальными служащими требований, огр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ничений и запретов, связа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ных с прохождением госуда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р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ственной гражданской службы Республики Татарстан (далее – государственная гражданская служба) и муниципальной службы, в том числе закон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дательства по противоде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й</w:t>
            </w:r>
            <w:r w:rsidRPr="009050FC">
              <w:rPr>
                <w:rFonts w:ascii="Times New Roman" w:hAnsi="Times New Roman"/>
                <w:sz w:val="24"/>
                <w:szCs w:val="24"/>
              </w:rPr>
              <w:t>ствию коррупции</w:t>
            </w:r>
          </w:p>
        </w:tc>
        <w:tc>
          <w:tcPr>
            <w:tcW w:w="1984" w:type="dxa"/>
          </w:tcPr>
          <w:p w:rsidR="00864782" w:rsidRPr="009050FC" w:rsidRDefault="00864782" w:rsidP="00AC0AF6">
            <w:pPr>
              <w:pStyle w:val="ConsPlusCell"/>
              <w:jc w:val="center"/>
              <w:rPr>
                <w:sz w:val="24"/>
                <w:szCs w:val="24"/>
              </w:rPr>
            </w:pPr>
            <w:r w:rsidRPr="009050FC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-2016 годы</w:t>
            </w:r>
          </w:p>
        </w:tc>
        <w:tc>
          <w:tcPr>
            <w:tcW w:w="3261" w:type="dxa"/>
          </w:tcPr>
          <w:p w:rsidR="00864782" w:rsidRPr="009050FC" w:rsidRDefault="00864782" w:rsidP="009050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проверочных и иных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</w:t>
            </w:r>
          </w:p>
        </w:tc>
        <w:tc>
          <w:tcPr>
            <w:tcW w:w="6378" w:type="dxa"/>
          </w:tcPr>
          <w:p w:rsidR="003E35A2" w:rsidRPr="00BC04A0" w:rsidRDefault="003E35A2" w:rsidP="003E35A2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 работниками впервые принятыми на государстве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ную гражданскую службу Государственного комитета Республики Татарстан по тарифам (далее – Госкомитет) проводятся разъяснения по соблюдению ими ограничений, запретов и по исполнению обязанностей, установленных в </w:t>
            </w:r>
            <w:proofErr w:type="gramStart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целях</w:t>
            </w:r>
            <w:proofErr w:type="gramEnd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противодействия коррупции, в том числе огранич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ний, касающихся дарения и получения подарков. </w:t>
            </w:r>
          </w:p>
          <w:p w:rsidR="003E35A2" w:rsidRPr="00BC04A0" w:rsidRDefault="003E35A2" w:rsidP="003E35A2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ца  доведена до сведения всех работников Госкомитета. </w:t>
            </w:r>
          </w:p>
          <w:p w:rsidR="003E35A2" w:rsidRPr="00BC04A0" w:rsidRDefault="003E35A2" w:rsidP="003E35A2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В рамках реализации мер антикоррупционной политики в качестве превентивных мер с сотрудниками Госком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тета периодически проводятся занятия по правовому пр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свещению по вопросам прохождения государственной гражданской службы, требований к служебному повед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lastRenderedPageBreak/>
              <w:t>нию, урегулированию конфликта интересов, ответстве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ности за совершение должностных правонарушений, бес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ды о правилах служебной этики государственных гра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ж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данских служащих. Доведена до сведения государственных гражданских служащих информация о внесении изменений в Уголовный кодекс Российской Федерации и Кодекс Ро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сийской Федерации об административных правонарушен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ях в связи с совершенствованием государственного упра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в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ления в области противодействия коррупции.</w:t>
            </w:r>
          </w:p>
          <w:p w:rsidR="003E35A2" w:rsidRPr="00BC04A0" w:rsidRDefault="003E35A2" w:rsidP="003E35A2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В целях формирования негативного отношения к ко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рупции в Госкомитете периодически проводятся беседы с сотрудниками о правилах служебной этики государстве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ных гражданских служащих, лекции по реализации ант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коррупционной политики Республики Татарстан. Кроме того, все нормативно-правовые акты по вопросам прот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водействия коррупции доводятся до сведения всех госуда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ственных гражданских служащих Госкомитета через 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стему Электронного Правительства.</w:t>
            </w:r>
          </w:p>
          <w:p w:rsidR="003E35A2" w:rsidRPr="00BC04A0" w:rsidRDefault="003E35A2" w:rsidP="003E35A2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В соответствии с письмом Министерства труда и 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циальной защиты Российской Федерации от 10 июля 2013 года № 18-2/10/2-3836 Госкомитетом разработана </w:t>
            </w:r>
            <w:r w:rsidR="001C155F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«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П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мятка государственным гражданским служащим Гос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у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дарственного комитета Республики Татарстан по тар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фам по урегулированию конфликта интересов на госуда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ственной гражданской службе</w:t>
            </w:r>
            <w:r w:rsidR="001C155F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»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;    </w:t>
            </w:r>
          </w:p>
          <w:p w:rsidR="003E35A2" w:rsidRPr="00BC04A0" w:rsidRDefault="003E35A2" w:rsidP="003E35A2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proofErr w:type="gramStart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-приказом Госкомитета от 30.09.2013 №288 утве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ждены Методические рекомендации по обучению собл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ю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дения государственными гражданскими служащими Го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комитета ограничений и запретов, требований о предо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т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вращении или урегулировании конфликта интересов, и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полнения ими обязанностей, установленных Федеральным законом от 25 декабря 2008 </w:t>
            </w:r>
            <w:r w:rsidR="001C155F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  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№ 273-ФЗ «О противоде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й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ствии коррупции и другими нормативными актами и ра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з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мещена на официальном сайте Госкомитета в разделе «Противодействие коррупции»;</w:t>
            </w:r>
            <w:proofErr w:type="gramEnd"/>
          </w:p>
          <w:p w:rsidR="003E35A2" w:rsidRPr="00BC04A0" w:rsidRDefault="001C155F" w:rsidP="003E35A2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-</w:t>
            </w:r>
            <w:r w:rsidR="002A1B01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азработан порядок уведомления представителя нан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мателя о фактах обращения в целях склонения госуда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ственных гражданских служащих Госкомитета к сове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шению коррупционных правонарушений и доведен до свед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е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ния всех государственных служащих Госкомитета (приказ от 03.07.2013 г. № 178). В</w:t>
            </w:r>
            <w:bookmarkStart w:id="0" w:name="_GoBack"/>
            <w:bookmarkEnd w:id="0"/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</w:t>
            </w:r>
            <w:r w:rsidR="00C670B1">
              <w:rPr>
                <w:rFonts w:ascii="Times New Roman" w:hAnsi="Times New Roman" w:cs="Courier New"/>
                <w:i/>
                <w:sz w:val="24"/>
                <w:szCs w:val="24"/>
              </w:rPr>
              <w:t>первом полугодии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2014 года св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е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дений о фактах обращения в целях  склонения госуда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ственного служащего к совершению коррупционных прав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нарушений  не поступало;       </w:t>
            </w:r>
          </w:p>
          <w:p w:rsidR="003E35A2" w:rsidRPr="00BC04A0" w:rsidRDefault="003E35A2" w:rsidP="003E35A2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    -приказом Госкомитета от 01.07.2013 №176 утве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жден Стандарт антикоррупционного поведения госуда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ственного гражданского служащего Государственного комитета Республики Татарстан по тарифам;</w:t>
            </w:r>
          </w:p>
          <w:p w:rsidR="003E35A2" w:rsidRDefault="002A1B01" w:rsidP="002A1B01">
            <w:pPr>
              <w:spacing w:after="0" w:line="240" w:lineRule="auto"/>
              <w:ind w:firstLine="600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-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приказом Госкомитета от 25.02.2014 № 60 утве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ждено Положение о сообщении председателем Госуда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ственного комитета Республики Татарстан по тарифам и лицами, замещающими должности государственной гражданской службы, информации о получении ими пода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="003E35A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ка в связи с должностным положением или исполнением ими служебных (должностных) обязанностей, сдаче, оценке и выкупе подарка.</w:t>
            </w:r>
          </w:p>
          <w:p w:rsidR="00263945" w:rsidRPr="00263945" w:rsidRDefault="00263945" w:rsidP="00263945">
            <w:pPr>
              <w:spacing w:after="0" w:line="240" w:lineRule="auto"/>
              <w:ind w:firstLine="600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Приказом Госкомитета от 08.07.2013 № 182к (в ред. приказа от 20.05.2014 № 175) создана Комиссия по собл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ю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дению требований к служебному поведению государстве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н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ных гражданских служащих Государственного комитета Республики Татарстан по тарифам и урегулированию конфликта интересов» (далее - Комиссия).  В состав К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миссии включены: представитель Департамента госуда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ственной службы и кадров при Президенте Республики Татарстан (по согласованию) и представитель высшего образовательного учреждения Казанского (Приволжского) Федерального университета.</w:t>
            </w:r>
          </w:p>
          <w:p w:rsidR="004D56B9" w:rsidRDefault="00263945" w:rsidP="004D56B9">
            <w:pPr>
              <w:spacing w:after="0" w:line="240" w:lineRule="auto"/>
              <w:ind w:firstLine="600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В первом полугодии 2014 года Комиссией по собл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ю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дению требований к служебному поведению государстве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н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ных гражданских служащих Государственного комитета Республики Татарстан по тарифам и урегулированию конфликта интересов проведено 4 заседания Комиссии, на которых рассмотрены меры по активизации работы ка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д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ровой службы по профилактике коррупционных и иных правонарушений и повышению эффективности деятельн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263945">
              <w:rPr>
                <w:rFonts w:ascii="Times New Roman" w:hAnsi="Times New Roman" w:cs="Courier New"/>
                <w:i/>
                <w:sz w:val="24"/>
                <w:szCs w:val="24"/>
              </w:rPr>
              <w:t>сти Комиссии.</w:t>
            </w:r>
          </w:p>
          <w:p w:rsidR="003E35A2" w:rsidRPr="00BC04A0" w:rsidRDefault="00FB7A4A" w:rsidP="00FB7A4A">
            <w:pPr>
              <w:spacing w:after="0" w:line="240" w:lineRule="auto"/>
              <w:ind w:firstLine="600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В целях реализации основных направлений госуда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ственной политики в сфере противодействия коррупции приказом Госкомитета от 11.06.2013 № 163 утверждены состав и Положение о Комиссии при Председателе Гос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у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дарственного комитета Республики Татарстан по тар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фам по противодействию коррупции, председателем к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торой является – председатель Государственного ком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тета Республики Татарстан по тарифам (</w:t>
            </w:r>
            <w:proofErr w:type="spellStart"/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Зарипов</w:t>
            </w:r>
            <w:proofErr w:type="spellEnd"/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М.Р.). В состав Комиссии включены 2 представителя общ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е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ственности: заместитель директора Высшей школы гос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у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дарственного и муниципального управления КФУ (</w:t>
            </w:r>
            <w:proofErr w:type="spellStart"/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Жирнова</w:t>
            </w:r>
            <w:proofErr w:type="spellEnd"/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.) и руководитель Аппарата Федерации профсоюзов Республики Татарстан (</w:t>
            </w:r>
            <w:proofErr w:type="spellStart"/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Борознов</w:t>
            </w:r>
            <w:proofErr w:type="spellEnd"/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Н.И.), </w:t>
            </w:r>
            <w:proofErr w:type="spellStart"/>
            <w:proofErr w:type="gramStart"/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c</w:t>
            </w:r>
            <w:proofErr w:type="gramEnd"/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екретарем</w:t>
            </w:r>
            <w:proofErr w:type="spellEnd"/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К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миссии назначена начальник отдела кадров (Толстая Т.А.). В первом полугодии 2014 году проведено </w:t>
            </w:r>
            <w:r>
              <w:rPr>
                <w:rFonts w:ascii="Times New Roman" w:hAnsi="Times New Roman" w:cs="Courier New"/>
                <w:i/>
                <w:sz w:val="24"/>
                <w:szCs w:val="24"/>
              </w:rPr>
              <w:t>3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заседания ук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>а</w:t>
            </w:r>
            <w:r w:rsidRPr="00FB7A4A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занной Комиссии.  </w:t>
            </w:r>
          </w:p>
          <w:p w:rsidR="003E35A2" w:rsidRPr="00BC04A0" w:rsidRDefault="003E35A2" w:rsidP="003E35A2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Осуществл</w:t>
            </w:r>
            <w:r w:rsidR="00FB7A4A">
              <w:rPr>
                <w:rFonts w:ascii="Times New Roman" w:hAnsi="Times New Roman" w:cs="Courier New"/>
                <w:i/>
                <w:sz w:val="24"/>
                <w:szCs w:val="24"/>
              </w:rPr>
              <w:t>ен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</w:t>
            </w:r>
            <w:proofErr w:type="gramStart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контроль за</w:t>
            </w:r>
            <w:proofErr w:type="gramEnd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своевременным предоставл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нием государственными служащими сведений о своих д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ходах, имуществе и обязательствах имущественного х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рактера, а также о доходах, имуществе и обязательствах имущественного характера их супругов и несовершенн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летних детей. Нарушений установленных законодател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ь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ством сроков предоставления сведений не установлено. Проверки государственных гражданских служащих Го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комитета на предмет их участия в предпринимательской деятельности проводятся при помощи подключения Го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комитета к базам данных УФНС РФ по РТ ЕГРИП и ЕГРЮЛ</w:t>
            </w:r>
            <w:r w:rsidR="00090AD8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, к которым подключен Госкомитет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. </w:t>
            </w:r>
            <w:proofErr w:type="gramStart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Приказом Госкомитета от 21.11.2013 № 371 утвержден «Перечень должностей государственной гражданской службы Гос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у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дарственного комитета Республики Татарстан по тар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фам, при назначении на которые граждане и при замещ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к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тера своих супруги и (супруга) и</w:t>
            </w:r>
            <w:proofErr w:type="gramEnd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несовершеннолетних д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тей». Указанный приказ зарегистрирован в </w:t>
            </w:r>
            <w:proofErr w:type="gramStart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Министерстве</w:t>
            </w:r>
            <w:proofErr w:type="gramEnd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юстиции Республики Татарстан от 23.12.2013 № 2194. Количество должностей, включенных в перечень должн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стей подверженных коррупционным рискам – 37, что с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ставляет 34,2% от штатной численности Госкомитета.</w:t>
            </w:r>
          </w:p>
          <w:p w:rsidR="00864782" w:rsidRPr="009050FC" w:rsidRDefault="003E35A2" w:rsidP="00DE4202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Раздел «Противодействие коррупции» официального сайта Госкомитета систематически обновляется в соо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т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ветствии с едиными требованиями к размещению и напо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л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нению разделов официальных сайтов исполнительных 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ганов государственной власти Республики Татарстан в информационно-телекоммуникационной сети «Интернет» по вопросам противодействия коррупции, утвержденным постановлением Кабинета Министров Республики Тата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="00DE4202"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стан от 04.04.2013 № 225. Также постоянно 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обновляется стенд «</w:t>
            </w:r>
            <w:proofErr w:type="gramStart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Противодействии</w:t>
            </w:r>
            <w:proofErr w:type="gramEnd"/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коррупции в Государственном комитете Республики Татарстан по тарифам», на кот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ром размещена антикоррупционная программа, информ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ционные материалы и распорядительные акты о против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действии коррупции.</w:t>
            </w:r>
          </w:p>
        </w:tc>
      </w:tr>
      <w:tr w:rsidR="00864782" w:rsidRPr="00E131FE" w:rsidTr="00657F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5"/>
          </w:tcPr>
          <w:p w:rsidR="00864782" w:rsidRPr="00864782" w:rsidRDefault="00864782" w:rsidP="00864782">
            <w:pPr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8647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Задача: «Внедрение эффективных механизмов подбора, комплексной оценки деятельности и продвижения по службе государственных гражданских и муниципальных служащих»</w:t>
            </w:r>
          </w:p>
        </w:tc>
      </w:tr>
      <w:tr w:rsidR="00864782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864782" w:rsidRDefault="00864782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2" w:type="dxa"/>
          </w:tcPr>
          <w:p w:rsidR="00864782" w:rsidRPr="00A65041" w:rsidRDefault="00864782" w:rsidP="00A65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внедрение единой информационной системы кадрового состава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ственной гражданской службы и муниципальной службы в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органах местного самоупра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984" w:type="dxa"/>
          </w:tcPr>
          <w:p w:rsidR="00864782" w:rsidRPr="00A65041" w:rsidRDefault="00864782" w:rsidP="00AC0AF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3261" w:type="dxa"/>
          </w:tcPr>
          <w:p w:rsidR="00864782" w:rsidRPr="00A65041" w:rsidRDefault="00864782" w:rsidP="00A65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технического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 и создание програм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ного продукта - единой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формационной системы ка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рового состава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гражданской слу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 и муниципальной службы в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органах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378" w:type="dxa"/>
          </w:tcPr>
          <w:p w:rsidR="00864782" w:rsidRPr="00BC04A0" w:rsidRDefault="00BD720B" w:rsidP="006166E3">
            <w:pPr>
              <w:spacing w:after="0" w:line="240" w:lineRule="auto"/>
              <w:ind w:firstLine="459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Совместно с Министерством информатизации и св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я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зи Республики Татарстан, Департаментом государстве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ной службы и кадров при Президенте Республики Тата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стан проводится работа по созданию единой информац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онной системы кадрового состава государственной гра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ж</w:t>
            </w:r>
            <w:r w:rsidR="00903A51">
              <w:rPr>
                <w:rFonts w:ascii="Times New Roman" w:hAnsi="Times New Roman" w:cs="Courier New"/>
                <w:i/>
                <w:sz w:val="24"/>
                <w:szCs w:val="24"/>
              </w:rPr>
              <w:t>данской службы в Госкомитете (</w:t>
            </w:r>
            <w:r w:rsidR="00903A51">
              <w:rPr>
                <w:rFonts w:ascii="Times New Roman" w:hAnsi="Times New Roman" w:cs="Courier New"/>
                <w:i/>
                <w:sz w:val="24"/>
                <w:szCs w:val="24"/>
                <w:lang w:val="tt-RU"/>
              </w:rPr>
              <w:t>в</w:t>
            </w:r>
            <w:r w:rsidRPr="00BC04A0">
              <w:rPr>
                <w:rFonts w:ascii="Times New Roman" w:hAnsi="Times New Roman" w:cs="Courier New"/>
                <w:i/>
                <w:sz w:val="24"/>
                <w:szCs w:val="24"/>
              </w:rPr>
              <w:t>х. документ №02/1678 от 08.04.2014, Исх.№1-25/980 от 08.04.2014).</w:t>
            </w:r>
          </w:p>
        </w:tc>
      </w:tr>
      <w:tr w:rsidR="00864782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864782" w:rsidRDefault="00864782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2" w:type="dxa"/>
          </w:tcPr>
          <w:p w:rsidR="00864782" w:rsidRPr="00A65041" w:rsidRDefault="00864782" w:rsidP="004F6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041">
              <w:rPr>
                <w:rFonts w:ascii="Times New Roman" w:hAnsi="Times New Roman"/>
                <w:sz w:val="24"/>
                <w:szCs w:val="24"/>
              </w:rPr>
              <w:t>Формирование кадрового р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зерва на должности госуда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р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ственной гражданской службы</w:t>
            </w:r>
          </w:p>
        </w:tc>
        <w:tc>
          <w:tcPr>
            <w:tcW w:w="1984" w:type="dxa"/>
          </w:tcPr>
          <w:p w:rsidR="00864782" w:rsidRPr="00A65041" w:rsidRDefault="00864782" w:rsidP="00AC0AF6">
            <w:pPr>
              <w:pStyle w:val="ConsPlusCell"/>
              <w:jc w:val="center"/>
              <w:rPr>
                <w:sz w:val="24"/>
                <w:szCs w:val="24"/>
              </w:rPr>
            </w:pPr>
            <w:r w:rsidRPr="00A65041">
              <w:rPr>
                <w:sz w:val="24"/>
                <w:szCs w:val="24"/>
              </w:rPr>
              <w:t>2014-2016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1" w:type="dxa"/>
          </w:tcPr>
          <w:p w:rsidR="00864782" w:rsidRPr="00A65041" w:rsidRDefault="00864782" w:rsidP="004F6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041">
              <w:rPr>
                <w:rFonts w:ascii="Times New Roman" w:hAnsi="Times New Roman"/>
                <w:sz w:val="24"/>
                <w:szCs w:val="24"/>
              </w:rPr>
              <w:t>Доля должностей руковод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телей структурных подра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з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делений в министерствах и ведомствах Республики Т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тарстан, на которых сформ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рован (актуализирован) ка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д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ровый резерв, в общем кол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честве должностей руков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дителей структурных по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д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разделений в министерствах и ведомствах Республики Т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тарстан (нарастающим ит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041">
              <w:rPr>
                <w:rFonts w:ascii="Times New Roman" w:hAnsi="Times New Roman"/>
                <w:sz w:val="24"/>
                <w:szCs w:val="24"/>
              </w:rPr>
              <w:t xml:space="preserve">гом) </w:t>
            </w:r>
          </w:p>
        </w:tc>
        <w:tc>
          <w:tcPr>
            <w:tcW w:w="6378" w:type="dxa"/>
          </w:tcPr>
          <w:p w:rsidR="00DE4202" w:rsidRPr="00002685" w:rsidRDefault="00B07E06" w:rsidP="00D24951">
            <w:pPr>
              <w:ind w:firstLine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первом полугодии</w:t>
            </w:r>
            <w:r w:rsidR="00002685">
              <w:rPr>
                <w:rFonts w:ascii="Times New Roman" w:hAnsi="Times New Roman"/>
                <w:i/>
                <w:sz w:val="24"/>
                <w:szCs w:val="24"/>
              </w:rPr>
              <w:t xml:space="preserve"> 2014 года по результатам пр</w:t>
            </w:r>
            <w:r w:rsidR="0000268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02685">
              <w:rPr>
                <w:rFonts w:ascii="Times New Roman" w:hAnsi="Times New Roman"/>
                <w:i/>
                <w:sz w:val="24"/>
                <w:szCs w:val="24"/>
              </w:rPr>
              <w:t>ведения конкурсных процедур, а также по итогам пр</w:t>
            </w:r>
            <w:r w:rsidR="0000268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02685">
              <w:rPr>
                <w:rFonts w:ascii="Times New Roman" w:hAnsi="Times New Roman"/>
                <w:i/>
                <w:sz w:val="24"/>
                <w:szCs w:val="24"/>
              </w:rPr>
              <w:t xml:space="preserve">хождения аттестации в кадровый резерв было включено </w:t>
            </w:r>
            <w:r w:rsidR="00D24951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="00002685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государственных гражданских служащих</w:t>
            </w:r>
            <w:r w:rsidR="0010346F">
              <w:rPr>
                <w:rFonts w:ascii="Times New Roman" w:hAnsi="Times New Roman"/>
                <w:i/>
                <w:sz w:val="24"/>
                <w:szCs w:val="24"/>
              </w:rPr>
              <w:t xml:space="preserve"> Госкомит</w:t>
            </w:r>
            <w:r w:rsidR="0010346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10346F">
              <w:rPr>
                <w:rFonts w:ascii="Times New Roman" w:hAnsi="Times New Roman"/>
                <w:i/>
                <w:sz w:val="24"/>
                <w:szCs w:val="24"/>
              </w:rPr>
              <w:t>та</w:t>
            </w:r>
            <w:r w:rsidR="009A08D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002685">
              <w:rPr>
                <w:rFonts w:ascii="Times New Roman" w:hAnsi="Times New Roman"/>
                <w:i/>
                <w:sz w:val="24"/>
                <w:szCs w:val="24"/>
              </w:rPr>
              <w:t xml:space="preserve"> в том числе </w:t>
            </w:r>
            <w:r w:rsidRPr="00B07E0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026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85E9A">
              <w:rPr>
                <w:rFonts w:ascii="Times New Roman" w:hAnsi="Times New Roman"/>
                <w:i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A85E9A">
              <w:rPr>
                <w:rFonts w:ascii="Times New Roman" w:hAnsi="Times New Roman"/>
                <w:i/>
                <w:sz w:val="24"/>
                <w:szCs w:val="24"/>
              </w:rPr>
              <w:t xml:space="preserve"> на замещение вакантной должности го</w:t>
            </w:r>
            <w:r w:rsidR="009A08DE">
              <w:rPr>
                <w:rFonts w:ascii="Times New Roman" w:hAnsi="Times New Roman"/>
                <w:i/>
                <w:sz w:val="24"/>
                <w:szCs w:val="24"/>
              </w:rPr>
              <w:t>сударстве</w:t>
            </w:r>
            <w:r w:rsidR="00061ED9">
              <w:rPr>
                <w:rFonts w:ascii="Times New Roman" w:hAnsi="Times New Roman"/>
                <w:i/>
                <w:sz w:val="24"/>
                <w:szCs w:val="24"/>
              </w:rPr>
              <w:t>нной гражданской службы</w:t>
            </w:r>
            <w:r w:rsidR="0000268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C155F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1C155F" w:rsidRDefault="001C155F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02" w:type="dxa"/>
          </w:tcPr>
          <w:p w:rsidR="001C155F" w:rsidRPr="00A65041" w:rsidRDefault="001C155F" w:rsidP="004F6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кадрового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зерва Республики Татарстан</w:t>
            </w:r>
          </w:p>
        </w:tc>
        <w:tc>
          <w:tcPr>
            <w:tcW w:w="1984" w:type="dxa"/>
          </w:tcPr>
          <w:p w:rsidR="001C155F" w:rsidRPr="00A65041" w:rsidRDefault="00DE4202" w:rsidP="00AC0AF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261" w:type="dxa"/>
          </w:tcPr>
          <w:p w:rsidR="001C155F" w:rsidRPr="00A65041" w:rsidRDefault="00DE4202" w:rsidP="004F6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02">
              <w:rPr>
                <w:rFonts w:ascii="Times New Roman" w:hAnsi="Times New Roman"/>
                <w:sz w:val="24"/>
                <w:szCs w:val="24"/>
              </w:rPr>
              <w:t xml:space="preserve">Включение лиц в кадровый резерв Республики Татарстан в </w:t>
            </w:r>
            <w:proofErr w:type="gramStart"/>
            <w:r w:rsidRPr="00DE420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DE4202">
              <w:rPr>
                <w:rFonts w:ascii="Times New Roman" w:hAnsi="Times New Roman"/>
                <w:sz w:val="24"/>
                <w:szCs w:val="24"/>
              </w:rPr>
              <w:t xml:space="preserve"> с произв</w:t>
            </w:r>
            <w:r w:rsidRPr="00DE42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E4202">
              <w:rPr>
                <w:rFonts w:ascii="Times New Roman" w:hAnsi="Times New Roman"/>
                <w:sz w:val="24"/>
                <w:szCs w:val="24"/>
              </w:rPr>
              <w:t>денной оценкой вероятной потребности государстве</w:t>
            </w:r>
            <w:r w:rsidRPr="00DE42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E4202">
              <w:rPr>
                <w:rFonts w:ascii="Times New Roman" w:hAnsi="Times New Roman"/>
                <w:sz w:val="24"/>
                <w:szCs w:val="24"/>
              </w:rPr>
              <w:t>ных органов в претендентах для замещения вакантных должностей государственной гражданской службы</w:t>
            </w:r>
          </w:p>
        </w:tc>
        <w:tc>
          <w:tcPr>
            <w:tcW w:w="6378" w:type="dxa"/>
          </w:tcPr>
          <w:p w:rsidR="001C155F" w:rsidRPr="00657F77" w:rsidRDefault="00DE4202" w:rsidP="00C329BC">
            <w:pPr>
              <w:ind w:firstLine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В соответствии с Указом Президента Республики Татарстан от 14.03.2011 № УП-124 «Об утверждении Положения о кадровом резерве на государственной гра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данской службе Республики Татарстан»</w:t>
            </w:r>
            <w:r w:rsidR="00310059"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2006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r w:rsidR="00CB5718">
              <w:rPr>
                <w:rFonts w:ascii="Times New Roman" w:hAnsi="Times New Roman"/>
                <w:i/>
                <w:sz w:val="24"/>
                <w:szCs w:val="24"/>
              </w:rPr>
              <w:t>адровом резе</w:t>
            </w:r>
            <w:r w:rsidR="00CB571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CB5718">
              <w:rPr>
                <w:rFonts w:ascii="Times New Roman" w:hAnsi="Times New Roman"/>
                <w:i/>
                <w:sz w:val="24"/>
                <w:szCs w:val="24"/>
              </w:rPr>
              <w:t xml:space="preserve">ве Госкомитета на </w:t>
            </w:r>
            <w:r w:rsidR="00702525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="00CB5718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702525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9</w:t>
            </w:r>
            <w:r w:rsidR="00CB5718">
              <w:rPr>
                <w:rFonts w:ascii="Times New Roman" w:hAnsi="Times New Roman"/>
                <w:i/>
                <w:sz w:val="24"/>
                <w:szCs w:val="24"/>
              </w:rPr>
              <w:t xml:space="preserve">.2014 состоят </w:t>
            </w:r>
            <w:r w:rsidR="009B3B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A043F3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7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чел</w:t>
            </w:r>
            <w:r w:rsidR="00310059" w:rsidRPr="00657F77">
              <w:rPr>
                <w:rFonts w:ascii="Times New Roman" w:hAnsi="Times New Roman"/>
                <w:i/>
                <w:sz w:val="24"/>
                <w:szCs w:val="24"/>
              </w:rPr>
              <w:t>овек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. И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формация о реестре лиц, включенных в кадровый резерв</w:t>
            </w:r>
            <w:r w:rsidR="006A5C46"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Госкомитета</w:t>
            </w:r>
            <w:r w:rsidR="001747CD" w:rsidRPr="00657F7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направлена в Департамент государстве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ной службы и кадров при Президенте Республики Тата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стан</w:t>
            </w:r>
            <w:r w:rsidR="001747CD"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2241E5">
              <w:rPr>
                <w:rFonts w:ascii="Times New Roman" w:hAnsi="Times New Roman"/>
                <w:i/>
                <w:sz w:val="24"/>
                <w:szCs w:val="24"/>
              </w:rPr>
              <w:t>исх.</w:t>
            </w:r>
            <w:r w:rsidR="00672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03A51">
              <w:rPr>
                <w:rFonts w:ascii="Times New Roman" w:hAnsi="Times New Roman"/>
                <w:i/>
                <w:sz w:val="24"/>
                <w:szCs w:val="24"/>
              </w:rPr>
              <w:t>письм</w:t>
            </w:r>
            <w:r w:rsidR="00C329B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03A51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9B3B5A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903A51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9B3B5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903A51">
              <w:rPr>
                <w:rFonts w:ascii="Times New Roman" w:hAnsi="Times New Roman"/>
                <w:i/>
                <w:sz w:val="24"/>
                <w:szCs w:val="24"/>
              </w:rPr>
              <w:t>.2014</w:t>
            </w:r>
            <w:r w:rsidR="001747CD" w:rsidRPr="00657F7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C155F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1C155F" w:rsidRDefault="00C166B4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02" w:type="dxa"/>
          </w:tcPr>
          <w:p w:rsidR="001C155F" w:rsidRPr="00A65041" w:rsidRDefault="00C166B4" w:rsidP="004F6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B4">
              <w:rPr>
                <w:rFonts w:ascii="Times New Roman" w:hAnsi="Times New Roman"/>
                <w:sz w:val="24"/>
                <w:szCs w:val="24"/>
              </w:rPr>
              <w:t>Формирование резерва упра</w:t>
            </w:r>
            <w:r w:rsidRPr="00C166B4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6B4">
              <w:rPr>
                <w:rFonts w:ascii="Times New Roman" w:hAnsi="Times New Roman"/>
                <w:sz w:val="24"/>
                <w:szCs w:val="24"/>
              </w:rPr>
              <w:t>ленческих кадров Республики Татарстан</w:t>
            </w:r>
          </w:p>
        </w:tc>
        <w:tc>
          <w:tcPr>
            <w:tcW w:w="1984" w:type="dxa"/>
          </w:tcPr>
          <w:p w:rsidR="001C155F" w:rsidRPr="00A65041" w:rsidRDefault="00C166B4" w:rsidP="00AC0AF6">
            <w:pPr>
              <w:pStyle w:val="ConsPlusCell"/>
              <w:jc w:val="center"/>
              <w:rPr>
                <w:sz w:val="24"/>
                <w:szCs w:val="24"/>
              </w:rPr>
            </w:pPr>
            <w:r w:rsidRPr="00C166B4">
              <w:rPr>
                <w:sz w:val="24"/>
                <w:szCs w:val="24"/>
              </w:rPr>
              <w:t>2014-2016 годы</w:t>
            </w:r>
          </w:p>
        </w:tc>
        <w:tc>
          <w:tcPr>
            <w:tcW w:w="3261" w:type="dxa"/>
          </w:tcPr>
          <w:p w:rsidR="001C155F" w:rsidRPr="00A65041" w:rsidRDefault="00C166B4" w:rsidP="004F6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B4">
              <w:rPr>
                <w:rFonts w:ascii="Times New Roman" w:hAnsi="Times New Roman"/>
                <w:sz w:val="24"/>
                <w:szCs w:val="24"/>
              </w:rPr>
              <w:t>Включение в резерв упра</w:t>
            </w:r>
            <w:r w:rsidRPr="00C166B4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6B4">
              <w:rPr>
                <w:rFonts w:ascii="Times New Roman" w:hAnsi="Times New Roman"/>
                <w:sz w:val="24"/>
                <w:szCs w:val="24"/>
              </w:rPr>
              <w:t>ленческих кадров Республ</w:t>
            </w:r>
            <w:r w:rsidRPr="00C166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6B4">
              <w:rPr>
                <w:rFonts w:ascii="Times New Roman" w:hAnsi="Times New Roman"/>
                <w:sz w:val="24"/>
                <w:szCs w:val="24"/>
              </w:rPr>
              <w:t>ки Татарстан не менее одн</w:t>
            </w:r>
            <w:r w:rsidRPr="00C166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6B4">
              <w:rPr>
                <w:rFonts w:ascii="Times New Roman" w:hAnsi="Times New Roman"/>
                <w:sz w:val="24"/>
                <w:szCs w:val="24"/>
              </w:rPr>
              <w:t xml:space="preserve">го человека на каждую управленческую должность в государственных </w:t>
            </w:r>
            <w:proofErr w:type="gramStart"/>
            <w:r w:rsidRPr="00C166B4">
              <w:rPr>
                <w:rFonts w:ascii="Times New Roman" w:hAnsi="Times New Roman"/>
                <w:sz w:val="24"/>
                <w:szCs w:val="24"/>
              </w:rPr>
              <w:t>органах</w:t>
            </w:r>
            <w:proofErr w:type="gramEnd"/>
          </w:p>
        </w:tc>
        <w:tc>
          <w:tcPr>
            <w:tcW w:w="6378" w:type="dxa"/>
          </w:tcPr>
          <w:p w:rsidR="001C155F" w:rsidRPr="00657F77" w:rsidRDefault="00C166B4" w:rsidP="001747CD">
            <w:pPr>
              <w:ind w:firstLine="6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В резерв управленческих кадров Республики Тата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стан </w:t>
            </w:r>
            <w:r w:rsidR="001747CD" w:rsidRPr="00657F77">
              <w:rPr>
                <w:rFonts w:ascii="Times New Roman" w:hAnsi="Times New Roman"/>
                <w:i/>
                <w:sz w:val="24"/>
                <w:szCs w:val="24"/>
              </w:rPr>
              <w:t>находятся</w:t>
            </w:r>
            <w:r w:rsidR="008D5EDF"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="001747CD" w:rsidRPr="00657F77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r w:rsidR="00310059" w:rsidRPr="00657F77">
              <w:rPr>
                <w:rFonts w:ascii="Times New Roman" w:hAnsi="Times New Roman"/>
                <w:i/>
                <w:sz w:val="24"/>
                <w:szCs w:val="24"/>
              </w:rPr>
              <w:t>овека</w:t>
            </w:r>
            <w:r w:rsidR="001747CD" w:rsidRPr="00657F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64782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864782" w:rsidRDefault="00864782" w:rsidP="00657F77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02" w:type="dxa"/>
          </w:tcPr>
          <w:p w:rsidR="00864782" w:rsidRPr="00A37D47" w:rsidRDefault="00864782" w:rsidP="00657F77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47">
              <w:rPr>
                <w:rFonts w:ascii="Times New Roman" w:hAnsi="Times New Roman"/>
                <w:sz w:val="24"/>
                <w:szCs w:val="24"/>
              </w:rPr>
              <w:t>Совершенствование методов оценки профессиональных знаний и навыков госуда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р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ственных гражданских и м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ниципальных служащих, а также лиц, претендующих на замещение должностей гос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дарственной гражданской и муниципальной службы, при проведении конкурса на з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мещение вакантных должн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стей государственной гра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ж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данской и муниципальной службы, аттестации, квалиф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кационного экзамена, форм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ровании кадрового резерва</w:t>
            </w:r>
          </w:p>
        </w:tc>
        <w:tc>
          <w:tcPr>
            <w:tcW w:w="1984" w:type="dxa"/>
          </w:tcPr>
          <w:p w:rsidR="00864782" w:rsidRPr="00A37D47" w:rsidRDefault="00864782" w:rsidP="00657F77">
            <w:pPr>
              <w:pStyle w:val="ConsPlusCell"/>
              <w:ind w:firstLine="284"/>
              <w:jc w:val="center"/>
              <w:rPr>
                <w:sz w:val="24"/>
                <w:szCs w:val="24"/>
              </w:rPr>
            </w:pPr>
            <w:r w:rsidRPr="00A37D47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864782" w:rsidRPr="00A37D47" w:rsidRDefault="00864782" w:rsidP="00657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47">
              <w:rPr>
                <w:rFonts w:ascii="Times New Roman" w:hAnsi="Times New Roman"/>
                <w:sz w:val="24"/>
                <w:szCs w:val="24"/>
              </w:rPr>
              <w:t>Выработка современных м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тодов оценки професси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нальных знаний и навыков государственных гражда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ских и муниципальных сл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жащих, а также лиц, прете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дующих на замещение дол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ж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ностей государственной гражданской и муниципал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ь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ной службы, при проведении конкурса на замещение в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кантных должностей гос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у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дарственной гражданской и муниципальной службы, а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тестации, квалификационн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D47">
              <w:rPr>
                <w:rFonts w:ascii="Times New Roman" w:hAnsi="Times New Roman"/>
                <w:sz w:val="24"/>
                <w:szCs w:val="24"/>
              </w:rPr>
              <w:t>го экзамена, формировании кадрового резерва</w:t>
            </w:r>
          </w:p>
        </w:tc>
        <w:tc>
          <w:tcPr>
            <w:tcW w:w="6378" w:type="dxa"/>
          </w:tcPr>
          <w:p w:rsidR="008009DA" w:rsidRPr="00657F77" w:rsidRDefault="008009DA" w:rsidP="008009DA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При проведении конкурсов на замещение вакантных должностей государственной гражданской службы и формировании кадрового резерва предусмотрены конкур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с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ные процедуры с </w:t>
            </w:r>
            <w:proofErr w:type="gramStart"/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использованием</w:t>
            </w:r>
            <w:proofErr w:type="gramEnd"/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не противоречащим зак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нодательству методов оценки профессиональных и ли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ч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ностных качеств кандидатов, включая индивидуальное с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беседование, тестирование по вопросам, связанным с в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ы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полнением должностных обязанностей, знание Законов о государственной гражданской службе РФ и РТ, Конст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туций РФ и РТ.</w:t>
            </w:r>
          </w:p>
          <w:p w:rsidR="008009DA" w:rsidRPr="00657F77" w:rsidRDefault="008009DA" w:rsidP="008009DA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Тестирование проводится в </w:t>
            </w:r>
            <w:proofErr w:type="gramStart"/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целях</w:t>
            </w:r>
            <w:proofErr w:type="gramEnd"/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определения их пр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фессиональных, организаторских и личностных качеств по единому перечню теоретических вопросов. Письменные тестовые задания составляются на базе квалификацио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н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ных требований к профессиональным знаниям и навыкам, необходимым для исполнения должностных обязанностей, с учетом специфики должностных обязанностей.</w:t>
            </w:r>
          </w:p>
          <w:p w:rsidR="008009DA" w:rsidRPr="00657F77" w:rsidRDefault="008009DA" w:rsidP="008009DA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В должностных регламентах предусмотрены показ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а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тели эффективности и результативности професси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нальной служебной деятельности сотрудников Госком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тета, которые в полной мере учитываются при провед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е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нии аттестаций и квалификационных экзаменов, форм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ровании кадрового резерва.</w:t>
            </w:r>
          </w:p>
          <w:p w:rsidR="008009DA" w:rsidRPr="00657F77" w:rsidRDefault="008009DA" w:rsidP="008009DA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При проведении конкурсов на замещение вакантных должностей государственной гражданской службы и формирования кадрового резерва предусмотрено 2 этапа конкурсных процедур: тестирование на знание Закона о государственной гражданской службе РТ и индивидуал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ь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ное собеседование.  </w:t>
            </w:r>
          </w:p>
          <w:p w:rsidR="00864782" w:rsidRDefault="008009DA" w:rsidP="008009DA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Приказом Госкомитета от 11.04.2012г. №</w:t>
            </w:r>
            <w:r w:rsidR="006726D0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93 утве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р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ждены квалификационные требования к уровню професс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онального образования, стажу государственной гражда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н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ской службы или стажу (опыту) работы по специальн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сти, профессиональным знаниям и навыкам, необходимым для исполнения должностных обязанностей государстве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н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ных гражданских служащих Госкомитета в области и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н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формационно-коммуникационных технологий. Данные требования включены в должностные регламенты кажд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о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го государственного гражданского служащего Госком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и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тета.</w:t>
            </w:r>
          </w:p>
        </w:tc>
      </w:tr>
      <w:tr w:rsidR="00864782" w:rsidRPr="00E131FE" w:rsidTr="00657F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5"/>
          </w:tcPr>
          <w:p w:rsidR="00864782" w:rsidRPr="00864782" w:rsidRDefault="00864782" w:rsidP="00161A41">
            <w:pPr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864782">
              <w:rPr>
                <w:rFonts w:ascii="Times New Roman" w:hAnsi="Times New Roman" w:cs="Courier New"/>
                <w:b/>
                <w:sz w:val="24"/>
                <w:szCs w:val="24"/>
              </w:rPr>
              <w:t>Задача: «Привлечение и закрепление на государственной гражданской службе и муниципальной службе молодых, перспективных специ</w:t>
            </w:r>
            <w:r w:rsidRPr="00864782">
              <w:rPr>
                <w:rFonts w:ascii="Times New Roman" w:hAnsi="Times New Roman" w:cs="Courier New"/>
                <w:b/>
                <w:sz w:val="24"/>
                <w:szCs w:val="24"/>
              </w:rPr>
              <w:t>а</w:t>
            </w:r>
            <w:r w:rsidRPr="00864782">
              <w:rPr>
                <w:rFonts w:ascii="Times New Roman" w:hAnsi="Times New Roman" w:cs="Courier New"/>
                <w:b/>
                <w:sz w:val="24"/>
                <w:szCs w:val="24"/>
              </w:rPr>
              <w:t>листов»</w:t>
            </w:r>
          </w:p>
        </w:tc>
      </w:tr>
      <w:tr w:rsidR="00305377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305377" w:rsidRPr="00161A41" w:rsidRDefault="00305377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</w:tcPr>
          <w:p w:rsidR="00305377" w:rsidRPr="00C44219" w:rsidRDefault="00305377" w:rsidP="003D5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77">
              <w:rPr>
                <w:rFonts w:ascii="Times New Roman" w:hAnsi="Times New Roman"/>
                <w:sz w:val="24"/>
                <w:szCs w:val="24"/>
              </w:rPr>
              <w:t>Совершенствование мер соц</w:t>
            </w:r>
            <w:r w:rsidRPr="003053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377">
              <w:rPr>
                <w:rFonts w:ascii="Times New Roman" w:hAnsi="Times New Roman"/>
                <w:sz w:val="24"/>
                <w:szCs w:val="24"/>
              </w:rPr>
              <w:t>альной защиты государстве</w:t>
            </w:r>
            <w:r w:rsidRPr="003053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5377">
              <w:rPr>
                <w:rFonts w:ascii="Times New Roman" w:hAnsi="Times New Roman"/>
                <w:sz w:val="24"/>
                <w:szCs w:val="24"/>
              </w:rPr>
              <w:t>ных гражданских служащих и муниципальных служащих</w:t>
            </w:r>
          </w:p>
        </w:tc>
        <w:tc>
          <w:tcPr>
            <w:tcW w:w="1984" w:type="dxa"/>
          </w:tcPr>
          <w:p w:rsidR="00305377" w:rsidRPr="00C44219" w:rsidRDefault="00305377" w:rsidP="00C44219">
            <w:pPr>
              <w:pStyle w:val="ConsPlusCell"/>
              <w:jc w:val="center"/>
              <w:rPr>
                <w:sz w:val="24"/>
                <w:szCs w:val="24"/>
              </w:rPr>
            </w:pPr>
            <w:r w:rsidRPr="00305377">
              <w:rPr>
                <w:sz w:val="24"/>
                <w:szCs w:val="24"/>
              </w:rPr>
              <w:t>2014 год</w:t>
            </w:r>
          </w:p>
        </w:tc>
        <w:tc>
          <w:tcPr>
            <w:tcW w:w="3261" w:type="dxa"/>
          </w:tcPr>
          <w:p w:rsidR="00305377" w:rsidRPr="00C44219" w:rsidRDefault="00305377" w:rsidP="00C44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77">
              <w:rPr>
                <w:rFonts w:ascii="Times New Roman" w:hAnsi="Times New Roman"/>
                <w:sz w:val="24"/>
                <w:szCs w:val="24"/>
              </w:rPr>
              <w:t>Подготовка предложений по совершенствованию мер с</w:t>
            </w:r>
            <w:r w:rsidRPr="003053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377">
              <w:rPr>
                <w:rFonts w:ascii="Times New Roman" w:hAnsi="Times New Roman"/>
                <w:sz w:val="24"/>
                <w:szCs w:val="24"/>
              </w:rPr>
              <w:t>циальной защиты госуда</w:t>
            </w:r>
            <w:r w:rsidRPr="003053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05377">
              <w:rPr>
                <w:rFonts w:ascii="Times New Roman" w:hAnsi="Times New Roman"/>
                <w:sz w:val="24"/>
                <w:szCs w:val="24"/>
              </w:rPr>
              <w:t>ственных гражданских сл</w:t>
            </w:r>
            <w:r w:rsidRPr="003053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5377">
              <w:rPr>
                <w:rFonts w:ascii="Times New Roman" w:hAnsi="Times New Roman"/>
                <w:sz w:val="24"/>
                <w:szCs w:val="24"/>
              </w:rPr>
              <w:t>жащих и муниципальных служащих</w:t>
            </w:r>
          </w:p>
        </w:tc>
        <w:tc>
          <w:tcPr>
            <w:tcW w:w="6378" w:type="dxa"/>
          </w:tcPr>
          <w:p w:rsidR="003D0EEB" w:rsidRPr="00657F77" w:rsidRDefault="00305377" w:rsidP="00C11715">
            <w:pPr>
              <w:spacing w:after="0" w:line="240" w:lineRule="auto"/>
              <w:ind w:left="-108"/>
              <w:jc w:val="both"/>
              <w:rPr>
                <w:i/>
              </w:rPr>
            </w:pPr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соответствии с Законом Республики Татарстан от 14.07.2012 №55-ЗРТ «Об обязательном государственном страховании государственных гражданских служащих Ре</w:t>
            </w:r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публики Татарстан» между </w:t>
            </w:r>
            <w:r w:rsidR="00C11715"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Госкомитетом</w:t>
            </w:r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                             ООО «АК БАРС СТРАХОВАНИЕ» заключен </w:t>
            </w:r>
            <w:r w:rsidR="00657F77"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</w:t>
            </w:r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осударстве</w:t>
            </w:r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</w:t>
            </w:r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ный контракт, предметом которого является оказание услуг по государственному страхованию государственных гражданских служащих.</w:t>
            </w:r>
            <w:r w:rsidR="003D0EEB" w:rsidRPr="00657F77">
              <w:rPr>
                <w:i/>
              </w:rPr>
              <w:t xml:space="preserve"> </w:t>
            </w:r>
          </w:p>
          <w:p w:rsidR="00305377" w:rsidRPr="00657F77" w:rsidRDefault="003D0EEB" w:rsidP="00C1171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Один </w:t>
            </w:r>
            <w:r w:rsidRPr="00657F77">
              <w:rPr>
                <w:rFonts w:ascii="Times New Roman" w:hAnsi="Times New Roman"/>
                <w:i/>
              </w:rPr>
              <w:t>г</w:t>
            </w:r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ражданский служащий Госкомитета в </w:t>
            </w:r>
            <w:proofErr w:type="gramStart"/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гос</w:t>
            </w:r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</w:t>
            </w:r>
            <w:r w:rsidRPr="00657F7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дарственного страхования получил страховую выплату.</w:t>
            </w:r>
          </w:p>
          <w:p w:rsidR="003D0EEB" w:rsidRPr="00BB5DC3" w:rsidRDefault="003D0EEB" w:rsidP="00C1171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82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864782" w:rsidRPr="00161A41" w:rsidRDefault="00864782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</w:tcPr>
          <w:p w:rsidR="00864782" w:rsidRPr="00C44219" w:rsidRDefault="00864782" w:rsidP="003D5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19">
              <w:rPr>
                <w:rFonts w:ascii="Times New Roman" w:hAnsi="Times New Roman"/>
                <w:sz w:val="24"/>
                <w:szCs w:val="24"/>
              </w:rPr>
              <w:t>Организация работы по при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му на практику (стажировку) в государственные органы ст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у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 xml:space="preserve">дентов в </w:t>
            </w:r>
            <w:proofErr w:type="gramStart"/>
            <w:r w:rsidRPr="00C44219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C44219">
              <w:rPr>
                <w:rFonts w:ascii="Times New Roman" w:hAnsi="Times New Roman"/>
                <w:sz w:val="24"/>
                <w:szCs w:val="24"/>
              </w:rPr>
              <w:t xml:space="preserve"> с з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ключаемыми договорами с высшими и средне специал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ь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ными учебными заведениями</w:t>
            </w:r>
          </w:p>
        </w:tc>
        <w:tc>
          <w:tcPr>
            <w:tcW w:w="1984" w:type="dxa"/>
          </w:tcPr>
          <w:p w:rsidR="00864782" w:rsidRPr="00C44219" w:rsidRDefault="00864782" w:rsidP="00C44219">
            <w:pPr>
              <w:pStyle w:val="ConsPlusCell"/>
              <w:jc w:val="center"/>
              <w:rPr>
                <w:sz w:val="24"/>
                <w:szCs w:val="24"/>
              </w:rPr>
            </w:pPr>
            <w:r w:rsidRPr="00C44219">
              <w:rPr>
                <w:sz w:val="24"/>
                <w:szCs w:val="24"/>
              </w:rPr>
              <w:t>2014-2016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1" w:type="dxa"/>
          </w:tcPr>
          <w:p w:rsidR="00864782" w:rsidRPr="00C44219" w:rsidRDefault="00864782" w:rsidP="00C44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219">
              <w:rPr>
                <w:rFonts w:ascii="Times New Roman" w:hAnsi="Times New Roman"/>
                <w:sz w:val="24"/>
                <w:szCs w:val="24"/>
              </w:rPr>
              <w:t>Доля государственных орг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нов, принявших на практику (стажировку) студентов в с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ответствии с заключаемыми договорами с высшими и средне специальными уче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б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ными заведениями (норматив по количеству принимаемых на практику (стажировку) студентов определяется р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шением Департамента по д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лам государственных сл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у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жащих при Президенте Ре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с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публики Татарстан, колич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ство принятых на практику (стажировку) студентов не может быть менее 3 человек ежегодно) в общем колич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стве государственных орг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нов (нарастающим итогом)</w:t>
            </w:r>
            <w:proofErr w:type="gramEnd"/>
          </w:p>
        </w:tc>
        <w:tc>
          <w:tcPr>
            <w:tcW w:w="6378" w:type="dxa"/>
          </w:tcPr>
          <w:p w:rsidR="00BD720B" w:rsidRPr="00657F77" w:rsidRDefault="00864782" w:rsidP="00D738A8">
            <w:pPr>
              <w:pStyle w:val="ac"/>
              <w:spacing w:after="0" w:line="240" w:lineRule="auto"/>
              <w:jc w:val="both"/>
              <w:rPr>
                <w:rStyle w:val="fontstyle12"/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7F77">
              <w:rPr>
                <w:rStyle w:val="fontstyle12"/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настоящее время Госкомитетом ведется работа</w:t>
            </w:r>
          </w:p>
          <w:p w:rsidR="00864782" w:rsidRPr="00657F77" w:rsidRDefault="00864782" w:rsidP="00D738A8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7F77">
              <w:rPr>
                <w:rStyle w:val="fontstyle12"/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заключению договоров </w:t>
            </w:r>
            <w:r w:rsidRPr="00657F77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 прохождение производстве</w:t>
            </w:r>
            <w:r w:rsidRPr="00657F77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57F77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ной практики студентов </w:t>
            </w:r>
            <w:r w:rsidRPr="00657F77">
              <w:rPr>
                <w:rStyle w:val="fontstyle12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Казанского национального иссл</w:t>
            </w:r>
            <w:r w:rsidRPr="00657F77">
              <w:rPr>
                <w:rStyle w:val="fontstyle12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е</w:t>
            </w:r>
            <w:r w:rsidRPr="00657F77">
              <w:rPr>
                <w:rStyle w:val="fontstyle12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довательского технологического университета (КНИТУ), Казанского государственного энергетического универс</w:t>
            </w:r>
            <w:r w:rsidRPr="00657F77">
              <w:rPr>
                <w:rStyle w:val="fontstyle12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="00380CB1">
              <w:rPr>
                <w:rStyle w:val="fontstyle12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тета (КГЭУ), Казанского (Приволжского) федерального университета.</w:t>
            </w:r>
          </w:p>
          <w:p w:rsidR="00864782" w:rsidRPr="00A4610F" w:rsidRDefault="00A4610F" w:rsidP="00D738A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4610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Количество студентов прошедших практику в </w:t>
            </w:r>
            <w:proofErr w:type="gramStart"/>
            <w:r w:rsidRPr="00A4610F">
              <w:rPr>
                <w:rFonts w:ascii="Times New Roman" w:eastAsia="Times New Roman" w:hAnsi="Times New Roman"/>
                <w:i/>
                <w:sz w:val="24"/>
                <w:szCs w:val="24"/>
              </w:rPr>
              <w:t>первом</w:t>
            </w:r>
            <w:proofErr w:type="gramEnd"/>
            <w:r w:rsidRPr="00A4610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</w:t>
            </w:r>
            <w:r w:rsidRPr="00A4610F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A4610F">
              <w:rPr>
                <w:rFonts w:ascii="Times New Roman" w:eastAsia="Times New Roman" w:hAnsi="Times New Roman"/>
                <w:i/>
                <w:sz w:val="24"/>
                <w:szCs w:val="24"/>
              </w:rPr>
              <w:t>лугодии 2014 года составляет 4 человека.</w:t>
            </w:r>
          </w:p>
          <w:p w:rsidR="00864782" w:rsidRPr="008C07CB" w:rsidRDefault="00864782" w:rsidP="007B615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82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864782" w:rsidRPr="00512914" w:rsidRDefault="00864782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    </w:t>
            </w:r>
          </w:p>
        </w:tc>
        <w:tc>
          <w:tcPr>
            <w:tcW w:w="3402" w:type="dxa"/>
          </w:tcPr>
          <w:p w:rsidR="00864782" w:rsidRPr="00C44219" w:rsidRDefault="00864782" w:rsidP="003D5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19">
              <w:rPr>
                <w:rFonts w:ascii="Times New Roman" w:hAnsi="Times New Roman"/>
                <w:sz w:val="24"/>
                <w:szCs w:val="24"/>
              </w:rPr>
              <w:t>Организация подготовки м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лодых специалистов для гос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у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дарственной гражданской службы в соответствии с з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ключаемыми договорами между государственными о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р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ганами и гражданами с обяз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тельством прохождения ими государственной гражданской службы после окончания об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у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984" w:type="dxa"/>
          </w:tcPr>
          <w:p w:rsidR="00864782" w:rsidRPr="00C44219" w:rsidRDefault="00864782" w:rsidP="00C44219">
            <w:pPr>
              <w:pStyle w:val="ConsPlusCell"/>
              <w:jc w:val="center"/>
              <w:rPr>
                <w:sz w:val="24"/>
                <w:szCs w:val="24"/>
              </w:rPr>
            </w:pPr>
            <w:r w:rsidRPr="00C44219">
              <w:rPr>
                <w:sz w:val="24"/>
                <w:szCs w:val="24"/>
              </w:rPr>
              <w:t>2014-2016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1" w:type="dxa"/>
          </w:tcPr>
          <w:p w:rsidR="00864782" w:rsidRPr="00C44219" w:rsidRDefault="00864782" w:rsidP="00C44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19">
              <w:rPr>
                <w:rFonts w:ascii="Times New Roman" w:hAnsi="Times New Roman"/>
                <w:sz w:val="24"/>
                <w:szCs w:val="24"/>
              </w:rPr>
              <w:t>Доля государственных орг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нов, заключивших договора на обучение с гражданами Российской Федерации с обязательством последующ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го прохождения госуда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р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ственной гражданской слу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ж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бы после окончания обуч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ния в течение определенного срока (норматив по колич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ству заключаемых договоров определяется решением Д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партамента по делам гос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у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дарственных служащих при Президенте Республики Т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тарстан) в общем их колич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стве (нарастающим итогом)</w:t>
            </w:r>
          </w:p>
        </w:tc>
        <w:tc>
          <w:tcPr>
            <w:tcW w:w="6378" w:type="dxa"/>
          </w:tcPr>
          <w:p w:rsidR="00864782" w:rsidRPr="00657F77" w:rsidRDefault="00864782" w:rsidP="00BD720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В штатном расписании Госкомитета отсутствуют должности государственной гражданской службы, отн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сящиеся к младшей группе должностей.</w:t>
            </w:r>
          </w:p>
        </w:tc>
      </w:tr>
      <w:tr w:rsidR="00864782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864782" w:rsidRPr="00E5701E" w:rsidRDefault="00864782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2" w:type="dxa"/>
          </w:tcPr>
          <w:p w:rsidR="00864782" w:rsidRPr="00C44219" w:rsidRDefault="00864782" w:rsidP="003D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19">
              <w:rPr>
                <w:rFonts w:ascii="Times New Roman" w:hAnsi="Times New Roman"/>
                <w:sz w:val="24"/>
                <w:szCs w:val="24"/>
              </w:rPr>
              <w:t>Проведение лекций, семин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ров, круглых столов для уч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щихся высших и средне сп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циальных учебных заведений о целях и задачах госуда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р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ственной гражданской и м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у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ниципальной службы</w:t>
            </w:r>
            <w:r w:rsidR="005425FF">
              <w:rPr>
                <w:rFonts w:ascii="Times New Roman" w:hAnsi="Times New Roman"/>
                <w:sz w:val="24"/>
                <w:szCs w:val="24"/>
              </w:rPr>
              <w:t xml:space="preserve"> (колич</w:t>
            </w:r>
            <w:r w:rsidR="005425FF">
              <w:rPr>
                <w:rFonts w:ascii="Times New Roman" w:hAnsi="Times New Roman"/>
                <w:sz w:val="24"/>
                <w:szCs w:val="24"/>
              </w:rPr>
              <w:t>е</w:t>
            </w:r>
            <w:r w:rsidR="005425FF">
              <w:rPr>
                <w:rFonts w:ascii="Times New Roman" w:hAnsi="Times New Roman"/>
                <w:sz w:val="24"/>
                <w:szCs w:val="24"/>
              </w:rPr>
              <w:t>ство проведенных меропри</w:t>
            </w:r>
            <w:r w:rsidR="005425FF">
              <w:rPr>
                <w:rFonts w:ascii="Times New Roman" w:hAnsi="Times New Roman"/>
                <w:sz w:val="24"/>
                <w:szCs w:val="24"/>
              </w:rPr>
              <w:t>я</w:t>
            </w:r>
            <w:r w:rsidR="005425FF">
              <w:rPr>
                <w:rFonts w:ascii="Times New Roman" w:hAnsi="Times New Roman"/>
                <w:sz w:val="24"/>
                <w:szCs w:val="24"/>
              </w:rPr>
              <w:t>тий по итогам 1 квартала 2014 года)</w:t>
            </w:r>
          </w:p>
        </w:tc>
        <w:tc>
          <w:tcPr>
            <w:tcW w:w="1984" w:type="dxa"/>
          </w:tcPr>
          <w:p w:rsidR="00864782" w:rsidRPr="00C44219" w:rsidRDefault="00864782" w:rsidP="00C44219">
            <w:pPr>
              <w:pStyle w:val="ConsPlusCell"/>
              <w:jc w:val="center"/>
              <w:rPr>
                <w:sz w:val="24"/>
                <w:szCs w:val="24"/>
              </w:rPr>
            </w:pPr>
            <w:r w:rsidRPr="00C44219">
              <w:rPr>
                <w:sz w:val="24"/>
                <w:szCs w:val="24"/>
              </w:rPr>
              <w:t>2014-2016 годы</w:t>
            </w:r>
          </w:p>
        </w:tc>
        <w:tc>
          <w:tcPr>
            <w:tcW w:w="3261" w:type="dxa"/>
          </w:tcPr>
          <w:p w:rsidR="00864782" w:rsidRPr="00C44219" w:rsidRDefault="00864782" w:rsidP="00C44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19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378" w:type="dxa"/>
          </w:tcPr>
          <w:p w:rsidR="00864782" w:rsidRPr="00702525" w:rsidRDefault="00EB6905" w:rsidP="00C17587">
            <w:pPr>
              <w:spacing w:after="0" w:line="240" w:lineRule="auto"/>
              <w:ind w:firstLine="284"/>
              <w:jc w:val="both"/>
              <w:rPr>
                <w:rFonts w:ascii="Times New Roman" w:hAnsi="Times New Roman" w:cs="Courier New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>Лекции, семинары круглые столы для учащихся высших и средних специальных учебных заведений о целях и задачах государственной гражданской службы и муниципальной службы в</w:t>
            </w:r>
            <w:r w:rsidR="00C17587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</w:t>
            </w:r>
            <w:r w:rsidR="001F1003">
              <w:rPr>
                <w:rFonts w:ascii="Times New Roman" w:hAnsi="Times New Roman" w:cs="Courier New"/>
                <w:i/>
                <w:sz w:val="24"/>
                <w:szCs w:val="24"/>
              </w:rPr>
              <w:t>первом</w:t>
            </w:r>
            <w:r w:rsidR="00E93466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полугодии</w:t>
            </w:r>
            <w:r w:rsidRPr="00657F77">
              <w:rPr>
                <w:rFonts w:ascii="Times New Roman" w:hAnsi="Times New Roman" w:cs="Courier New"/>
                <w:i/>
                <w:sz w:val="24"/>
                <w:szCs w:val="24"/>
              </w:rPr>
              <w:t xml:space="preserve">  2014 года не проводились.</w:t>
            </w:r>
          </w:p>
        </w:tc>
      </w:tr>
      <w:tr w:rsidR="00A85E9A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A85E9A" w:rsidRDefault="00A85E9A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2" w:type="dxa"/>
          </w:tcPr>
          <w:p w:rsidR="00A85E9A" w:rsidRPr="00C44219" w:rsidRDefault="00A85E9A" w:rsidP="00912BD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5E9A" w:rsidRPr="00C44219" w:rsidRDefault="00A85E9A" w:rsidP="00C4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85E9A" w:rsidRPr="00C44219" w:rsidRDefault="00A85E9A" w:rsidP="00912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85E9A" w:rsidRPr="00A85E9A" w:rsidRDefault="00A85E9A" w:rsidP="00A85E9A">
            <w:pPr>
              <w:keepNext/>
              <w:keepLines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Приказ Госкомитета от 24.12.2010 года № 362 «Об утверждении Положения  о проведении конкурса на зам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щение вакантных должностей государственной гражда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ской службы» (в ред. приказов Госкомитета от 19.04.2011 № 104, от 15.09.2</w:t>
            </w:r>
            <w:r w:rsidR="0079516B">
              <w:rPr>
                <w:rFonts w:ascii="Times New Roman" w:hAnsi="Times New Roman"/>
                <w:i/>
                <w:sz w:val="24"/>
                <w:szCs w:val="24"/>
              </w:rPr>
              <w:t>011 № 221, от 13.06.2012 № 168,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 xml:space="preserve"> 11.09.2013  № 255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от 14.1</w:t>
            </w:r>
            <w:r w:rsidR="007951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.2013 №</w:t>
            </w:r>
            <w:r w:rsidR="00874B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348, от 03.02.2014 № 30, от 12.05.2014 №</w:t>
            </w:r>
            <w:r w:rsidR="00874B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165</w:t>
            </w:r>
            <w:r w:rsidR="00874B9A">
              <w:rPr>
                <w:rFonts w:ascii="Times New Roman" w:hAnsi="Times New Roman"/>
                <w:i/>
                <w:sz w:val="24"/>
                <w:szCs w:val="24"/>
              </w:rPr>
              <w:t>, от 16.07.2014 № 213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), указанные приказы зарегистрированы в Министерстве юстиции Ре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публики Татарстан.</w:t>
            </w:r>
            <w:proofErr w:type="gramEnd"/>
          </w:p>
          <w:p w:rsidR="00A85E9A" w:rsidRPr="00A85E9A" w:rsidRDefault="00A85E9A" w:rsidP="00A85E9A">
            <w:pPr>
              <w:keepNext/>
              <w:keepLines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Пункт 4 Положения о проведении конкурса на зам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щение вакантных должностей государственной гражда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ской службы, утвержденного приказом от 24.12.2010 года № 362,  определяет состав, сроки и порядок работы Ко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курсных комиссий, устанавливает Методику проведения конкурсов, а также порядок опубликования объявлений о приеме документов для участия в конкурсе, как в общ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ственно-политической газете «Республики Татарстан», учредителями которой являются Кабинет Министров Республики Татарстан и Государственный Совет Респу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лики</w:t>
            </w:r>
            <w:proofErr w:type="gramEnd"/>
            <w:r w:rsidRPr="00A85E9A">
              <w:rPr>
                <w:rFonts w:ascii="Times New Roman" w:hAnsi="Times New Roman"/>
                <w:i/>
                <w:sz w:val="24"/>
                <w:szCs w:val="24"/>
              </w:rPr>
              <w:t xml:space="preserve"> Татарстан, так и на сайте Госкомитета. </w:t>
            </w:r>
          </w:p>
          <w:p w:rsidR="00A85E9A" w:rsidRPr="00A85E9A" w:rsidRDefault="00A85E9A" w:rsidP="00A85E9A">
            <w:pPr>
              <w:keepNext/>
              <w:keepLines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В состав Комиссии включены: представитель Депа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тамента государственной службы и кадров при През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денте Республики Татарстан (по согласованию) и пре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ставитель высшего образовательного учреждения Каза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ского (Приволжского) федерального университета.</w:t>
            </w:r>
          </w:p>
          <w:p w:rsidR="00A85E9A" w:rsidRPr="00657F77" w:rsidRDefault="00A85E9A" w:rsidP="00A85E9A">
            <w:pPr>
              <w:keepNext/>
              <w:keepLines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Поступление на государственную гражданскую слу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бу без конкурса осуществляется в соответствии с пун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том 2 статьи 22 Федерального закона от 27 июля 2004 года  № 79-ФЗ «О государственной гражданской службе РФ», а именно: при заключении срочного служебного ко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тракта, при назначении на замещаемые на определенный срок полномочий должности гражданской службы кат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85E9A">
              <w:rPr>
                <w:rFonts w:ascii="Times New Roman" w:hAnsi="Times New Roman"/>
                <w:i/>
                <w:sz w:val="24"/>
                <w:szCs w:val="24"/>
              </w:rPr>
              <w:t>гории «помощники».</w:t>
            </w:r>
            <w:proofErr w:type="gramEnd"/>
          </w:p>
        </w:tc>
      </w:tr>
      <w:tr w:rsidR="00864782" w:rsidRPr="00E131FE" w:rsidTr="002241E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</w:tcPr>
          <w:p w:rsidR="00864782" w:rsidRDefault="00864782" w:rsidP="000F36BE">
            <w:pPr>
              <w:tabs>
                <w:tab w:val="left" w:pos="567"/>
                <w:tab w:val="left" w:pos="709"/>
              </w:tabs>
              <w:ind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E57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64782" w:rsidRPr="00C44219" w:rsidRDefault="00864782" w:rsidP="00912BD1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19">
              <w:rPr>
                <w:rFonts w:ascii="Times New Roman" w:hAnsi="Times New Roman"/>
                <w:sz w:val="24"/>
                <w:szCs w:val="24"/>
              </w:rPr>
              <w:t>Публикация информации о деятельности государстве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ных гражданских и муниц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и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пальных служащих в СМИ, на официальных Интернет-сайтах государственных орг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нов и органов местного сам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1984" w:type="dxa"/>
          </w:tcPr>
          <w:p w:rsidR="00864782" w:rsidRPr="00C44219" w:rsidRDefault="00864782" w:rsidP="00C44219">
            <w:pPr>
              <w:pStyle w:val="ConsPlusCell"/>
              <w:jc w:val="center"/>
              <w:rPr>
                <w:sz w:val="24"/>
                <w:szCs w:val="24"/>
              </w:rPr>
            </w:pPr>
            <w:r w:rsidRPr="00C44219">
              <w:rPr>
                <w:sz w:val="24"/>
                <w:szCs w:val="24"/>
              </w:rPr>
              <w:t>2014-2016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61" w:type="dxa"/>
          </w:tcPr>
          <w:p w:rsidR="00864782" w:rsidRPr="00C44219" w:rsidRDefault="00864782" w:rsidP="00912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19">
              <w:rPr>
                <w:rFonts w:ascii="Times New Roman" w:hAnsi="Times New Roman"/>
                <w:sz w:val="24"/>
                <w:szCs w:val="24"/>
              </w:rPr>
              <w:t>Количество статей и иных информационно-аналитических материалов о деятельности государстве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ных гражданских и муниц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и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пальных служащих, развитии государственной гражда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н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ской и муниципальной слу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ж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 xml:space="preserve">бы, опубликованных в </w:t>
            </w:r>
            <w:r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ствах массовой информации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, на официальных сайтах го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с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ударственных органов и о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р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ганов местного самоупра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в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</w:t>
            </w:r>
            <w:r w:rsidRPr="00C44219">
              <w:rPr>
                <w:rFonts w:ascii="Times New Roman" w:hAnsi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  <w:tc>
          <w:tcPr>
            <w:tcW w:w="6378" w:type="dxa"/>
          </w:tcPr>
          <w:p w:rsidR="00AA21D8" w:rsidRDefault="00AA21D8" w:rsidP="00AA21D8">
            <w:pPr>
              <w:keepNext/>
              <w:keepLines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первое полугодие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 xml:space="preserve"> 2014 года на официальном сайте Госко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митета в информационно-теле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коммуникационной сети «Интернет» было размещено 201 новостное сообщ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ние на русском и татарском языках синхронно. В них в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шли еженедельные публикации  о проведенных соглас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 xml:space="preserve">тельных комиссиях Госкомитета, заседаниях Правления, новости о проведенных Госкомитетом собраниях, </w:t>
            </w:r>
            <w:proofErr w:type="spellStart"/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вебин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рах</w:t>
            </w:r>
            <w:proofErr w:type="spellEnd"/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, конференциях, семинарах, заседаниях Общественного Совета, Экспертного совета, репортажи с мероприятий, в которых приняли участие сотрудники Госкомитета, информация о тарифах. Кроме этого были опубликованы материалы о проводимых мероп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риятиях совместно с ФСТ России. В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 xml:space="preserve"> средствах массовой информации было опублик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21D8">
              <w:rPr>
                <w:rFonts w:ascii="Times New Roman" w:hAnsi="Times New Roman"/>
                <w:i/>
                <w:sz w:val="24"/>
                <w:szCs w:val="24"/>
              </w:rPr>
              <w:t xml:space="preserve">вано 106 новостных сообщений. </w:t>
            </w:r>
            <w:r w:rsidR="006166E3"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4782" w:rsidRPr="00AA21D8" w:rsidRDefault="00864782" w:rsidP="00AA21D8">
            <w:pPr>
              <w:keepNext/>
              <w:keepLines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о деятельности Госкомитета регулярно размещается на официальном сайте </w:t>
            </w:r>
            <w:hyperlink r:id="rId9" w:history="1">
              <w:r w:rsidRPr="00657F77">
                <w:rPr>
                  <w:rStyle w:val="ae"/>
                  <w:rFonts w:ascii="Times New Roman" w:hAnsi="Times New Roman"/>
                  <w:i/>
                  <w:sz w:val="24"/>
                  <w:szCs w:val="24"/>
                </w:rPr>
                <w:t>http://kt.tatarstan.ru</w:t>
              </w:r>
              <w:r w:rsidRPr="00657F77">
                <w:rPr>
                  <w:rStyle w:val="ae"/>
                  <w:rFonts w:ascii="Times New Roman" w:hAnsi="Times New Roman"/>
                  <w:b/>
                  <w:i/>
                  <w:sz w:val="24"/>
                  <w:szCs w:val="24"/>
                </w:rPr>
                <w:t>/</w:t>
              </w:r>
            </w:hyperlink>
            <w:r w:rsidRPr="00657F7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6166E3"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в разделах: Справочно-аналитические материалы» и «Раб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та с обращениями граждан», в </w:t>
            </w:r>
            <w:proofErr w:type="gramStart"/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подразделе</w:t>
            </w:r>
            <w:proofErr w:type="gramEnd"/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: «Мониторинг по обращениям граждан» размещается информация по обращениям граждан, поступившим в Госкомитет, с ра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бивкой по тематике задаваемых вопросов и муниципал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ных районов;</w:t>
            </w:r>
            <w:r w:rsidR="006166E3"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D2803" w:rsidRPr="00657F77">
              <w:rPr>
                <w:rFonts w:ascii="Times New Roman" w:hAnsi="Times New Roman"/>
                <w:i/>
                <w:sz w:val="24"/>
                <w:szCs w:val="24"/>
              </w:rPr>
              <w:t>постоянно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на сайте Госкомитета подде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живается в актуальном состоянии раздел: «Часто зад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ваемые вопросы».</w:t>
            </w:r>
            <w:r w:rsidRPr="006166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2F32DD" w:rsidRPr="00305377" w:rsidRDefault="00B25DB5" w:rsidP="00305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66E3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93F55" w:rsidRPr="006166E3">
        <w:rPr>
          <w:rFonts w:ascii="Times New Roman" w:hAnsi="Times New Roman"/>
          <w:b/>
          <w:sz w:val="24"/>
          <w:szCs w:val="24"/>
        </w:rPr>
        <w:t xml:space="preserve">№ </w:t>
      </w:r>
      <w:r w:rsidR="007559BA" w:rsidRPr="006166E3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126"/>
        <w:gridCol w:w="2266"/>
        <w:gridCol w:w="3688"/>
        <w:gridCol w:w="5811"/>
      </w:tblGrid>
      <w:tr w:rsidR="00FB4998" w:rsidRPr="00B25DB5" w:rsidTr="00657F77">
        <w:trPr>
          <w:trHeight w:val="847"/>
          <w:tblCellSpacing w:w="5" w:type="nil"/>
        </w:trPr>
        <w:tc>
          <w:tcPr>
            <w:tcW w:w="702" w:type="dxa"/>
            <w:vAlign w:val="center"/>
          </w:tcPr>
          <w:p w:rsidR="00FB4998" w:rsidRPr="00B25DB5" w:rsidRDefault="00FB4998" w:rsidP="00450A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26" w:type="dxa"/>
            <w:vAlign w:val="center"/>
          </w:tcPr>
          <w:p w:rsidR="00FB4998" w:rsidRDefault="00FB4998" w:rsidP="00B254A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Наименование</w:t>
            </w:r>
          </w:p>
          <w:p w:rsidR="00FB4998" w:rsidRPr="00B25DB5" w:rsidRDefault="00FB4998" w:rsidP="00B254A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основных мероприятий</w:t>
            </w:r>
          </w:p>
        </w:tc>
        <w:tc>
          <w:tcPr>
            <w:tcW w:w="2266" w:type="dxa"/>
            <w:vAlign w:val="center"/>
          </w:tcPr>
          <w:p w:rsidR="00FB4998" w:rsidRDefault="00FB4998" w:rsidP="00B254A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Сроки выполнения</w:t>
            </w:r>
          </w:p>
          <w:p w:rsidR="00FB4998" w:rsidRDefault="00FB4998" w:rsidP="00B254A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основных</w:t>
            </w:r>
          </w:p>
          <w:p w:rsidR="00FB4998" w:rsidRPr="00B25DB5" w:rsidRDefault="00FB4998" w:rsidP="00B254A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</w:t>
            </w:r>
            <w:r w:rsidRPr="00B25DB5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3688" w:type="dxa"/>
            <w:vAlign w:val="center"/>
          </w:tcPr>
          <w:p w:rsidR="00FB4998" w:rsidRDefault="00FB4998" w:rsidP="00B254A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Индикаторы оценки</w:t>
            </w:r>
          </w:p>
          <w:p w:rsidR="00FB4998" w:rsidRPr="00B25DB5" w:rsidRDefault="00FB4998" w:rsidP="00B254A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25DB5">
              <w:rPr>
                <w:b/>
                <w:sz w:val="20"/>
                <w:szCs w:val="20"/>
              </w:rPr>
              <w:t>конечных результатов</w:t>
            </w:r>
          </w:p>
        </w:tc>
        <w:tc>
          <w:tcPr>
            <w:tcW w:w="5811" w:type="dxa"/>
            <w:vAlign w:val="center"/>
          </w:tcPr>
          <w:p w:rsidR="00FB4998" w:rsidRPr="00B25DB5" w:rsidRDefault="00FB4998" w:rsidP="00B254A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</w:t>
            </w:r>
          </w:p>
        </w:tc>
      </w:tr>
      <w:tr w:rsidR="00D756F1" w:rsidRPr="00B25DB5" w:rsidTr="00FB4998">
        <w:trPr>
          <w:tblCellSpacing w:w="5" w:type="nil"/>
        </w:trPr>
        <w:tc>
          <w:tcPr>
            <w:tcW w:w="15593" w:type="dxa"/>
            <w:gridSpan w:val="5"/>
          </w:tcPr>
          <w:p w:rsidR="00D756F1" w:rsidRPr="00D11A2F" w:rsidRDefault="00D756F1" w:rsidP="00D11A2F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D11A2F">
              <w:rPr>
                <w:sz w:val="24"/>
                <w:szCs w:val="24"/>
              </w:rPr>
              <w:t>Цель: Повышение эффективности исполнения государственными  органами  Республики Татарстан и органами местного самоуправления в Респуб</w:t>
            </w:r>
            <w:r w:rsidR="00D11A2F">
              <w:rPr>
                <w:sz w:val="24"/>
                <w:szCs w:val="24"/>
              </w:rPr>
              <w:t xml:space="preserve">лике Татарстан </w:t>
            </w:r>
            <w:r w:rsidRPr="00D11A2F">
              <w:rPr>
                <w:sz w:val="24"/>
                <w:szCs w:val="24"/>
              </w:rPr>
              <w:t>возложенных на них полномочий</w:t>
            </w:r>
          </w:p>
        </w:tc>
      </w:tr>
      <w:tr w:rsidR="00D756F1" w:rsidRPr="00E131FE" w:rsidTr="00FB4998">
        <w:trPr>
          <w:tblCellSpacing w:w="5" w:type="nil"/>
        </w:trPr>
        <w:tc>
          <w:tcPr>
            <w:tcW w:w="15593" w:type="dxa"/>
            <w:gridSpan w:val="5"/>
          </w:tcPr>
          <w:p w:rsidR="00D756F1" w:rsidRPr="00D11A2F" w:rsidRDefault="00D756F1" w:rsidP="0073732A">
            <w:pPr>
              <w:pStyle w:val="ConsPlusCell"/>
              <w:jc w:val="both"/>
              <w:rPr>
                <w:sz w:val="24"/>
                <w:szCs w:val="24"/>
              </w:rPr>
            </w:pPr>
            <w:r w:rsidRPr="00D11A2F">
              <w:rPr>
                <w:sz w:val="24"/>
                <w:szCs w:val="24"/>
              </w:rPr>
              <w:t>Задача: Развитие профессиональной и управленческой компетентности государственных гражданских и муниципальных служащих, а также лиц, включенных в кадровые резервы</w:t>
            </w:r>
          </w:p>
        </w:tc>
      </w:tr>
      <w:tr w:rsidR="00FB4998" w:rsidRPr="00B25DB5" w:rsidTr="009B2E1F">
        <w:trPr>
          <w:tblCellSpacing w:w="5" w:type="nil"/>
        </w:trPr>
        <w:tc>
          <w:tcPr>
            <w:tcW w:w="702" w:type="dxa"/>
          </w:tcPr>
          <w:p w:rsidR="00FB4998" w:rsidRPr="00D11A2F" w:rsidRDefault="00FB4998" w:rsidP="003D79F2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FB4998" w:rsidRPr="00D11A2F" w:rsidRDefault="00FB4998" w:rsidP="00F17E23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2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квалификации, профессиональной переподготовки, стажировки государственных гражданских служащих</w:t>
            </w:r>
          </w:p>
        </w:tc>
        <w:tc>
          <w:tcPr>
            <w:tcW w:w="2266" w:type="dxa"/>
          </w:tcPr>
          <w:p w:rsidR="00FB4998" w:rsidRPr="00D11A2F" w:rsidRDefault="00FB4998" w:rsidP="00FB4998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 w:rsidRPr="00D11A2F">
              <w:rPr>
                <w:rFonts w:cs="Courier New"/>
                <w:sz w:val="24"/>
                <w:szCs w:val="24"/>
              </w:rPr>
              <w:t>2014 - 2016</w:t>
            </w:r>
          </w:p>
        </w:tc>
        <w:tc>
          <w:tcPr>
            <w:tcW w:w="3688" w:type="dxa"/>
          </w:tcPr>
          <w:p w:rsidR="00FB4998" w:rsidRPr="00D11A2F" w:rsidRDefault="00FB4998" w:rsidP="00D11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2F">
              <w:rPr>
                <w:rFonts w:ascii="Times New Roman" w:hAnsi="Times New Roman"/>
                <w:sz w:val="24"/>
                <w:szCs w:val="24"/>
              </w:rPr>
              <w:t>Доля государственных гражданских служащих, прошедших повышение квалификации, профессиональную переподготовку, ст</w:t>
            </w:r>
            <w:r w:rsidRPr="00D11A2F">
              <w:rPr>
                <w:rFonts w:ascii="Times New Roman" w:hAnsi="Times New Roman"/>
                <w:sz w:val="24"/>
                <w:szCs w:val="24"/>
              </w:rPr>
              <w:t>а</w:t>
            </w:r>
            <w:r w:rsidRPr="00D11A2F">
              <w:rPr>
                <w:rFonts w:ascii="Times New Roman" w:hAnsi="Times New Roman"/>
                <w:sz w:val="24"/>
                <w:szCs w:val="24"/>
              </w:rPr>
              <w:t>жировку в соответствующем году</w:t>
            </w:r>
          </w:p>
        </w:tc>
        <w:tc>
          <w:tcPr>
            <w:tcW w:w="5811" w:type="dxa"/>
          </w:tcPr>
          <w:p w:rsidR="00C73FF5" w:rsidRPr="00657F77" w:rsidRDefault="00C73FF5" w:rsidP="00C73F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6F2761">
              <w:rPr>
                <w:rFonts w:ascii="Times New Roman" w:hAnsi="Times New Roman"/>
                <w:i/>
                <w:sz w:val="24"/>
                <w:szCs w:val="24"/>
              </w:rPr>
              <w:t>первом полугодии</w:t>
            </w:r>
            <w:r w:rsidR="00C20062">
              <w:rPr>
                <w:rFonts w:ascii="Times New Roman" w:hAnsi="Times New Roman"/>
                <w:i/>
                <w:sz w:val="24"/>
                <w:szCs w:val="24"/>
              </w:rPr>
              <w:t xml:space="preserve"> 2014 года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государственные гражданские служащие Госкомитета профессиональную переподготовку, стажировку не проходили.</w:t>
            </w:r>
          </w:p>
          <w:p w:rsidR="00C73FF5" w:rsidRPr="00657F77" w:rsidRDefault="00C73FF5" w:rsidP="00C73F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В Госкомитете на основе индивидуальных планов профессионального развития составлен план повышения квалификации государственных гражданских слу</w:t>
            </w:r>
            <w:r w:rsidR="004F73F3">
              <w:rPr>
                <w:rFonts w:ascii="Times New Roman" w:hAnsi="Times New Roman"/>
                <w:i/>
                <w:sz w:val="24"/>
                <w:szCs w:val="24"/>
              </w:rPr>
              <w:t xml:space="preserve">жащих на 2014 год в количестве </w:t>
            </w:r>
            <w:r w:rsidR="004F73F3" w:rsidRPr="004F73F3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человек на базе Высшей школы государственного и муниципального управления Казанского (Приволжского) федерального университета.</w:t>
            </w:r>
          </w:p>
          <w:p w:rsidR="00480F68" w:rsidRDefault="00C73FF5" w:rsidP="00C73F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>Повысили квалификацию в</w:t>
            </w:r>
            <w:r w:rsidR="009473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947394">
              <w:rPr>
                <w:rFonts w:ascii="Times New Roman" w:hAnsi="Times New Roman"/>
                <w:i/>
                <w:sz w:val="24"/>
                <w:szCs w:val="24"/>
              </w:rPr>
              <w:t>первом</w:t>
            </w:r>
            <w:proofErr w:type="gramEnd"/>
            <w:r w:rsidR="004F73F3">
              <w:rPr>
                <w:rFonts w:ascii="Times New Roman" w:hAnsi="Times New Roman"/>
                <w:i/>
                <w:sz w:val="24"/>
                <w:szCs w:val="24"/>
              </w:rPr>
              <w:t xml:space="preserve"> полугодии</w:t>
            </w:r>
            <w:r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2014 года по программе повышения к</w:t>
            </w:r>
            <w:r w:rsidR="004E15CE">
              <w:rPr>
                <w:rFonts w:ascii="Times New Roman" w:hAnsi="Times New Roman"/>
                <w:i/>
                <w:sz w:val="24"/>
                <w:szCs w:val="24"/>
              </w:rPr>
              <w:t>валификации в объеме</w:t>
            </w:r>
            <w:r w:rsidR="00480F68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:</w:t>
            </w:r>
          </w:p>
          <w:p w:rsidR="00480F68" w:rsidRDefault="00480F68" w:rsidP="00C73F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480F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</w:t>
            </w:r>
            <w:r w:rsidRPr="00480F68">
              <w:rPr>
                <w:rFonts w:ascii="Times New Roman" w:hAnsi="Times New Roman"/>
                <w:i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часов </w:t>
            </w:r>
            <w:r w:rsidR="00874B9A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5</w:t>
            </w:r>
            <w:r w:rsidR="004E15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0F68">
              <w:rPr>
                <w:rFonts w:ascii="Times New Roman" w:hAnsi="Times New Roman"/>
                <w:i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 гражданских служащих Госкоми</w:t>
            </w:r>
            <w:r w:rsidRPr="00480F68">
              <w:rPr>
                <w:rFonts w:ascii="Times New Roman" w:hAnsi="Times New Roman"/>
                <w:i/>
                <w:sz w:val="24"/>
                <w:szCs w:val="24"/>
              </w:rPr>
              <w:t>тета.</w:t>
            </w:r>
          </w:p>
          <w:p w:rsidR="00C73FF5" w:rsidRPr="00657F77" w:rsidRDefault="00480F68" w:rsidP="00C73F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-</w:t>
            </w:r>
            <w:r w:rsidR="004E15CE">
              <w:rPr>
                <w:rFonts w:ascii="Times New Roman" w:hAnsi="Times New Roman"/>
                <w:i/>
                <w:sz w:val="24"/>
                <w:szCs w:val="24"/>
              </w:rPr>
              <w:t xml:space="preserve">72 часа </w:t>
            </w:r>
            <w:r w:rsidR="00874B9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C73FF5" w:rsidRPr="00657F77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государственных гражданских служащих Госкомитета.</w:t>
            </w:r>
          </w:p>
          <w:p w:rsidR="00FB4998" w:rsidRPr="00531CBC" w:rsidRDefault="00FB4998" w:rsidP="00BD720B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</w:tbl>
    <w:p w:rsidR="00646268" w:rsidRDefault="00646268" w:rsidP="007559BA">
      <w:pPr>
        <w:spacing w:after="0" w:line="240" w:lineRule="auto"/>
        <w:jc w:val="right"/>
      </w:pPr>
    </w:p>
    <w:sectPr w:rsidR="00646268" w:rsidSect="00310A1E">
      <w:headerReference w:type="default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09" w:rsidRDefault="00270E09" w:rsidP="00E131FE">
      <w:pPr>
        <w:spacing w:after="0" w:line="240" w:lineRule="auto"/>
      </w:pPr>
      <w:r>
        <w:separator/>
      </w:r>
    </w:p>
  </w:endnote>
  <w:endnote w:type="continuationSeparator" w:id="0">
    <w:p w:rsidR="00270E09" w:rsidRDefault="00270E09" w:rsidP="00E1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09" w:rsidRDefault="00270E09" w:rsidP="00E131FE">
      <w:pPr>
        <w:spacing w:after="0" w:line="240" w:lineRule="auto"/>
      </w:pPr>
      <w:r>
        <w:separator/>
      </w:r>
    </w:p>
  </w:footnote>
  <w:footnote w:type="continuationSeparator" w:id="0">
    <w:p w:rsidR="00270E09" w:rsidRDefault="00270E09" w:rsidP="00E1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F3" w:rsidRDefault="004F73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339">
      <w:rPr>
        <w:noProof/>
      </w:rPr>
      <w:t>12</w:t>
    </w:r>
    <w:r>
      <w:rPr>
        <w:noProof/>
      </w:rPr>
      <w:fldChar w:fldCharType="end"/>
    </w:r>
  </w:p>
  <w:p w:rsidR="004F73F3" w:rsidRDefault="004F73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78AF"/>
    <w:multiLevelType w:val="hybridMultilevel"/>
    <w:tmpl w:val="9ECA46F8"/>
    <w:lvl w:ilvl="0" w:tplc="B2202B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34"/>
    <w:rsid w:val="00001BF0"/>
    <w:rsid w:val="00002685"/>
    <w:rsid w:val="00002DA9"/>
    <w:rsid w:val="00003B1D"/>
    <w:rsid w:val="000048DE"/>
    <w:rsid w:val="00007343"/>
    <w:rsid w:val="0000739E"/>
    <w:rsid w:val="00007BCB"/>
    <w:rsid w:val="00011CCF"/>
    <w:rsid w:val="0002029A"/>
    <w:rsid w:val="00021A27"/>
    <w:rsid w:val="00025061"/>
    <w:rsid w:val="0002745D"/>
    <w:rsid w:val="000317F2"/>
    <w:rsid w:val="00031F8C"/>
    <w:rsid w:val="00034DC6"/>
    <w:rsid w:val="00036F40"/>
    <w:rsid w:val="00037C6A"/>
    <w:rsid w:val="0004078E"/>
    <w:rsid w:val="00043EE3"/>
    <w:rsid w:val="000442A4"/>
    <w:rsid w:val="00044927"/>
    <w:rsid w:val="00045895"/>
    <w:rsid w:val="00047C83"/>
    <w:rsid w:val="000509F4"/>
    <w:rsid w:val="0005169D"/>
    <w:rsid w:val="00053418"/>
    <w:rsid w:val="00053823"/>
    <w:rsid w:val="00053A70"/>
    <w:rsid w:val="00054402"/>
    <w:rsid w:val="000562CC"/>
    <w:rsid w:val="000578CE"/>
    <w:rsid w:val="000579C4"/>
    <w:rsid w:val="000605FA"/>
    <w:rsid w:val="00061252"/>
    <w:rsid w:val="00061490"/>
    <w:rsid w:val="00061A6F"/>
    <w:rsid w:val="00061ED9"/>
    <w:rsid w:val="00065333"/>
    <w:rsid w:val="00066342"/>
    <w:rsid w:val="0006743C"/>
    <w:rsid w:val="000677A4"/>
    <w:rsid w:val="00067DB9"/>
    <w:rsid w:val="000701B2"/>
    <w:rsid w:val="00070630"/>
    <w:rsid w:val="00070F22"/>
    <w:rsid w:val="0007186A"/>
    <w:rsid w:val="00073AC7"/>
    <w:rsid w:val="000740F9"/>
    <w:rsid w:val="00074397"/>
    <w:rsid w:val="00081A1A"/>
    <w:rsid w:val="0008215B"/>
    <w:rsid w:val="000839AD"/>
    <w:rsid w:val="00084679"/>
    <w:rsid w:val="000855D7"/>
    <w:rsid w:val="00086E30"/>
    <w:rsid w:val="00090AD8"/>
    <w:rsid w:val="00092E03"/>
    <w:rsid w:val="000969A9"/>
    <w:rsid w:val="00096E55"/>
    <w:rsid w:val="00097FC1"/>
    <w:rsid w:val="000A0E0A"/>
    <w:rsid w:val="000A197D"/>
    <w:rsid w:val="000A7ADF"/>
    <w:rsid w:val="000B048F"/>
    <w:rsid w:val="000B0DC8"/>
    <w:rsid w:val="000B0F35"/>
    <w:rsid w:val="000B1813"/>
    <w:rsid w:val="000B1D39"/>
    <w:rsid w:val="000B2B4F"/>
    <w:rsid w:val="000B49CD"/>
    <w:rsid w:val="000B5EFF"/>
    <w:rsid w:val="000B60C8"/>
    <w:rsid w:val="000B7BC6"/>
    <w:rsid w:val="000C1ADD"/>
    <w:rsid w:val="000C552A"/>
    <w:rsid w:val="000C637B"/>
    <w:rsid w:val="000D1767"/>
    <w:rsid w:val="000D2200"/>
    <w:rsid w:val="000D2467"/>
    <w:rsid w:val="000D2553"/>
    <w:rsid w:val="000D4F3D"/>
    <w:rsid w:val="000D69A0"/>
    <w:rsid w:val="000E009B"/>
    <w:rsid w:val="000E1209"/>
    <w:rsid w:val="000E1F13"/>
    <w:rsid w:val="000E55AD"/>
    <w:rsid w:val="000E6D83"/>
    <w:rsid w:val="000E7139"/>
    <w:rsid w:val="000F1F93"/>
    <w:rsid w:val="000F2C55"/>
    <w:rsid w:val="000F32FB"/>
    <w:rsid w:val="000F3568"/>
    <w:rsid w:val="000F36BE"/>
    <w:rsid w:val="0010346F"/>
    <w:rsid w:val="001034D3"/>
    <w:rsid w:val="001041A0"/>
    <w:rsid w:val="00105ECC"/>
    <w:rsid w:val="001062BF"/>
    <w:rsid w:val="0010645C"/>
    <w:rsid w:val="00106F29"/>
    <w:rsid w:val="00112EF5"/>
    <w:rsid w:val="001144C1"/>
    <w:rsid w:val="001146D2"/>
    <w:rsid w:val="00114FF5"/>
    <w:rsid w:val="00116AFB"/>
    <w:rsid w:val="00117D10"/>
    <w:rsid w:val="001219C5"/>
    <w:rsid w:val="00121E0A"/>
    <w:rsid w:val="00123122"/>
    <w:rsid w:val="00123FF6"/>
    <w:rsid w:val="00125972"/>
    <w:rsid w:val="00126916"/>
    <w:rsid w:val="00126ED8"/>
    <w:rsid w:val="001271D5"/>
    <w:rsid w:val="0012741F"/>
    <w:rsid w:val="001275A2"/>
    <w:rsid w:val="001278E7"/>
    <w:rsid w:val="00130819"/>
    <w:rsid w:val="00132388"/>
    <w:rsid w:val="00132B8C"/>
    <w:rsid w:val="00134F11"/>
    <w:rsid w:val="0013569F"/>
    <w:rsid w:val="00136BDD"/>
    <w:rsid w:val="00137030"/>
    <w:rsid w:val="001372C8"/>
    <w:rsid w:val="00145110"/>
    <w:rsid w:val="001452B1"/>
    <w:rsid w:val="00145652"/>
    <w:rsid w:val="00146CD7"/>
    <w:rsid w:val="00146F65"/>
    <w:rsid w:val="001515FE"/>
    <w:rsid w:val="001524BF"/>
    <w:rsid w:val="0015412B"/>
    <w:rsid w:val="00156660"/>
    <w:rsid w:val="001577D0"/>
    <w:rsid w:val="00161A41"/>
    <w:rsid w:val="00166DF3"/>
    <w:rsid w:val="00170378"/>
    <w:rsid w:val="00172880"/>
    <w:rsid w:val="00173F8B"/>
    <w:rsid w:val="00174749"/>
    <w:rsid w:val="001747CD"/>
    <w:rsid w:val="00182496"/>
    <w:rsid w:val="001917BC"/>
    <w:rsid w:val="00193CB0"/>
    <w:rsid w:val="00193F55"/>
    <w:rsid w:val="001976B9"/>
    <w:rsid w:val="001A0229"/>
    <w:rsid w:val="001A06DE"/>
    <w:rsid w:val="001B2166"/>
    <w:rsid w:val="001C155F"/>
    <w:rsid w:val="001C28BC"/>
    <w:rsid w:val="001C31C6"/>
    <w:rsid w:val="001D11D4"/>
    <w:rsid w:val="001D52AF"/>
    <w:rsid w:val="001D60D6"/>
    <w:rsid w:val="001D6605"/>
    <w:rsid w:val="001D7968"/>
    <w:rsid w:val="001E0B44"/>
    <w:rsid w:val="001E0C57"/>
    <w:rsid w:val="001E2068"/>
    <w:rsid w:val="001E32C9"/>
    <w:rsid w:val="001F051D"/>
    <w:rsid w:val="001F0E6C"/>
    <w:rsid w:val="001F1003"/>
    <w:rsid w:val="001F1ADB"/>
    <w:rsid w:val="001F1EA9"/>
    <w:rsid w:val="001F5FF7"/>
    <w:rsid w:val="001F6215"/>
    <w:rsid w:val="002053B3"/>
    <w:rsid w:val="00206168"/>
    <w:rsid w:val="002069B5"/>
    <w:rsid w:val="002074AD"/>
    <w:rsid w:val="00210046"/>
    <w:rsid w:val="00210BAB"/>
    <w:rsid w:val="00210D89"/>
    <w:rsid w:val="002138D6"/>
    <w:rsid w:val="002158E4"/>
    <w:rsid w:val="00216126"/>
    <w:rsid w:val="002241E5"/>
    <w:rsid w:val="0022533E"/>
    <w:rsid w:val="00225360"/>
    <w:rsid w:val="00226D66"/>
    <w:rsid w:val="0022700A"/>
    <w:rsid w:val="00227399"/>
    <w:rsid w:val="00227827"/>
    <w:rsid w:val="00227DF9"/>
    <w:rsid w:val="00231605"/>
    <w:rsid w:val="0023250C"/>
    <w:rsid w:val="00233A01"/>
    <w:rsid w:val="00235027"/>
    <w:rsid w:val="0023600F"/>
    <w:rsid w:val="00236F60"/>
    <w:rsid w:val="00240038"/>
    <w:rsid w:val="00240979"/>
    <w:rsid w:val="0024228A"/>
    <w:rsid w:val="00243824"/>
    <w:rsid w:val="00244076"/>
    <w:rsid w:val="00246E0C"/>
    <w:rsid w:val="002472FC"/>
    <w:rsid w:val="00251DA9"/>
    <w:rsid w:val="00252768"/>
    <w:rsid w:val="00252C93"/>
    <w:rsid w:val="0025321E"/>
    <w:rsid w:val="00253A94"/>
    <w:rsid w:val="00260ADD"/>
    <w:rsid w:val="00262FC5"/>
    <w:rsid w:val="00263322"/>
    <w:rsid w:val="00263457"/>
    <w:rsid w:val="00263945"/>
    <w:rsid w:val="00265DB7"/>
    <w:rsid w:val="00270E09"/>
    <w:rsid w:val="00271974"/>
    <w:rsid w:val="00273B47"/>
    <w:rsid w:val="00274051"/>
    <w:rsid w:val="002756FD"/>
    <w:rsid w:val="0028060D"/>
    <w:rsid w:val="00281AF9"/>
    <w:rsid w:val="00281BD1"/>
    <w:rsid w:val="00290A5D"/>
    <w:rsid w:val="002923C4"/>
    <w:rsid w:val="002924BD"/>
    <w:rsid w:val="00294E3E"/>
    <w:rsid w:val="00295466"/>
    <w:rsid w:val="002964D4"/>
    <w:rsid w:val="002A0BE6"/>
    <w:rsid w:val="002A0D3C"/>
    <w:rsid w:val="002A1B01"/>
    <w:rsid w:val="002A382F"/>
    <w:rsid w:val="002A3C05"/>
    <w:rsid w:val="002A6AB8"/>
    <w:rsid w:val="002B2254"/>
    <w:rsid w:val="002B2312"/>
    <w:rsid w:val="002B314C"/>
    <w:rsid w:val="002B352B"/>
    <w:rsid w:val="002B49E5"/>
    <w:rsid w:val="002B7065"/>
    <w:rsid w:val="002B7B8D"/>
    <w:rsid w:val="002C1875"/>
    <w:rsid w:val="002C26DD"/>
    <w:rsid w:val="002C40F0"/>
    <w:rsid w:val="002C62A1"/>
    <w:rsid w:val="002C64AF"/>
    <w:rsid w:val="002C76B4"/>
    <w:rsid w:val="002C7A7D"/>
    <w:rsid w:val="002D1B20"/>
    <w:rsid w:val="002D35C6"/>
    <w:rsid w:val="002D6C97"/>
    <w:rsid w:val="002D790F"/>
    <w:rsid w:val="002E06A1"/>
    <w:rsid w:val="002E32BE"/>
    <w:rsid w:val="002E3DC8"/>
    <w:rsid w:val="002E43A3"/>
    <w:rsid w:val="002E4D34"/>
    <w:rsid w:val="002E5462"/>
    <w:rsid w:val="002E5DB2"/>
    <w:rsid w:val="002E68D2"/>
    <w:rsid w:val="002E6F0B"/>
    <w:rsid w:val="002F32DD"/>
    <w:rsid w:val="002F3C31"/>
    <w:rsid w:val="002F79C7"/>
    <w:rsid w:val="00301B0C"/>
    <w:rsid w:val="0030237C"/>
    <w:rsid w:val="00302A8D"/>
    <w:rsid w:val="00302C60"/>
    <w:rsid w:val="00305377"/>
    <w:rsid w:val="00310059"/>
    <w:rsid w:val="00310A1E"/>
    <w:rsid w:val="0031267F"/>
    <w:rsid w:val="00316779"/>
    <w:rsid w:val="00316B54"/>
    <w:rsid w:val="00323413"/>
    <w:rsid w:val="003234F0"/>
    <w:rsid w:val="00323F55"/>
    <w:rsid w:val="003262AB"/>
    <w:rsid w:val="003270DC"/>
    <w:rsid w:val="0032753D"/>
    <w:rsid w:val="0033095D"/>
    <w:rsid w:val="00331B12"/>
    <w:rsid w:val="003333FF"/>
    <w:rsid w:val="00334171"/>
    <w:rsid w:val="00336FE8"/>
    <w:rsid w:val="003370D9"/>
    <w:rsid w:val="00337BC4"/>
    <w:rsid w:val="0034002E"/>
    <w:rsid w:val="0034214B"/>
    <w:rsid w:val="003424B8"/>
    <w:rsid w:val="003450D8"/>
    <w:rsid w:val="003462B9"/>
    <w:rsid w:val="00347688"/>
    <w:rsid w:val="00347F1C"/>
    <w:rsid w:val="00352D8C"/>
    <w:rsid w:val="00353F74"/>
    <w:rsid w:val="0035412D"/>
    <w:rsid w:val="003569C4"/>
    <w:rsid w:val="00357098"/>
    <w:rsid w:val="00357C45"/>
    <w:rsid w:val="003613FD"/>
    <w:rsid w:val="00361BD8"/>
    <w:rsid w:val="0036242C"/>
    <w:rsid w:val="0036378D"/>
    <w:rsid w:val="003638A2"/>
    <w:rsid w:val="003654D4"/>
    <w:rsid w:val="00366894"/>
    <w:rsid w:val="0037231A"/>
    <w:rsid w:val="00374355"/>
    <w:rsid w:val="00376E58"/>
    <w:rsid w:val="003775A4"/>
    <w:rsid w:val="00380512"/>
    <w:rsid w:val="00380CB1"/>
    <w:rsid w:val="00382B31"/>
    <w:rsid w:val="00385D5C"/>
    <w:rsid w:val="0039046E"/>
    <w:rsid w:val="00390855"/>
    <w:rsid w:val="00390976"/>
    <w:rsid w:val="00390C34"/>
    <w:rsid w:val="003923A0"/>
    <w:rsid w:val="00392430"/>
    <w:rsid w:val="0039485E"/>
    <w:rsid w:val="003957CD"/>
    <w:rsid w:val="00395F0C"/>
    <w:rsid w:val="00396610"/>
    <w:rsid w:val="00397DBF"/>
    <w:rsid w:val="003A2EAA"/>
    <w:rsid w:val="003A2F20"/>
    <w:rsid w:val="003A39F4"/>
    <w:rsid w:val="003A47B9"/>
    <w:rsid w:val="003A5AAF"/>
    <w:rsid w:val="003A5B35"/>
    <w:rsid w:val="003A6BC4"/>
    <w:rsid w:val="003B3ACF"/>
    <w:rsid w:val="003B518D"/>
    <w:rsid w:val="003B5A32"/>
    <w:rsid w:val="003B651B"/>
    <w:rsid w:val="003B72ED"/>
    <w:rsid w:val="003C0716"/>
    <w:rsid w:val="003C3D99"/>
    <w:rsid w:val="003C46CA"/>
    <w:rsid w:val="003C50D5"/>
    <w:rsid w:val="003C5438"/>
    <w:rsid w:val="003D0EEB"/>
    <w:rsid w:val="003D1039"/>
    <w:rsid w:val="003D2618"/>
    <w:rsid w:val="003D2E0B"/>
    <w:rsid w:val="003D5485"/>
    <w:rsid w:val="003D58E3"/>
    <w:rsid w:val="003D5BF1"/>
    <w:rsid w:val="003D6984"/>
    <w:rsid w:val="003D79F2"/>
    <w:rsid w:val="003E0496"/>
    <w:rsid w:val="003E2D17"/>
    <w:rsid w:val="003E31DB"/>
    <w:rsid w:val="003E35A2"/>
    <w:rsid w:val="003E44DA"/>
    <w:rsid w:val="003E481C"/>
    <w:rsid w:val="003E4D5F"/>
    <w:rsid w:val="003E6758"/>
    <w:rsid w:val="003E7EDC"/>
    <w:rsid w:val="003F1964"/>
    <w:rsid w:val="003F198D"/>
    <w:rsid w:val="003F62AA"/>
    <w:rsid w:val="003F6741"/>
    <w:rsid w:val="00400032"/>
    <w:rsid w:val="0040380C"/>
    <w:rsid w:val="004079D5"/>
    <w:rsid w:val="00412AB7"/>
    <w:rsid w:val="00413BE0"/>
    <w:rsid w:val="0041697B"/>
    <w:rsid w:val="00417961"/>
    <w:rsid w:val="00421D2E"/>
    <w:rsid w:val="00422DD7"/>
    <w:rsid w:val="00423FAB"/>
    <w:rsid w:val="0042637C"/>
    <w:rsid w:val="00430903"/>
    <w:rsid w:val="00430CCE"/>
    <w:rsid w:val="00431E7D"/>
    <w:rsid w:val="00432BB9"/>
    <w:rsid w:val="00433168"/>
    <w:rsid w:val="0044088E"/>
    <w:rsid w:val="00440CF4"/>
    <w:rsid w:val="0044190D"/>
    <w:rsid w:val="00441BBD"/>
    <w:rsid w:val="00444C8E"/>
    <w:rsid w:val="00444EDC"/>
    <w:rsid w:val="004460B7"/>
    <w:rsid w:val="004467C9"/>
    <w:rsid w:val="00446FA6"/>
    <w:rsid w:val="00450A3A"/>
    <w:rsid w:val="00453060"/>
    <w:rsid w:val="004537E7"/>
    <w:rsid w:val="00453C78"/>
    <w:rsid w:val="00455ED0"/>
    <w:rsid w:val="00461D69"/>
    <w:rsid w:val="004625FA"/>
    <w:rsid w:val="00462E3A"/>
    <w:rsid w:val="004670B3"/>
    <w:rsid w:val="00470427"/>
    <w:rsid w:val="004723D8"/>
    <w:rsid w:val="0047388A"/>
    <w:rsid w:val="00473A13"/>
    <w:rsid w:val="0047631E"/>
    <w:rsid w:val="00477032"/>
    <w:rsid w:val="00477178"/>
    <w:rsid w:val="00480696"/>
    <w:rsid w:val="00480F68"/>
    <w:rsid w:val="00481C1B"/>
    <w:rsid w:val="004826F8"/>
    <w:rsid w:val="004839AD"/>
    <w:rsid w:val="004861E7"/>
    <w:rsid w:val="00492039"/>
    <w:rsid w:val="00492A94"/>
    <w:rsid w:val="004A1980"/>
    <w:rsid w:val="004A299D"/>
    <w:rsid w:val="004A3B3F"/>
    <w:rsid w:val="004A45BD"/>
    <w:rsid w:val="004A5600"/>
    <w:rsid w:val="004A6013"/>
    <w:rsid w:val="004A7185"/>
    <w:rsid w:val="004A78F3"/>
    <w:rsid w:val="004A7B35"/>
    <w:rsid w:val="004B32E6"/>
    <w:rsid w:val="004B4905"/>
    <w:rsid w:val="004B5BA9"/>
    <w:rsid w:val="004C0478"/>
    <w:rsid w:val="004C1D26"/>
    <w:rsid w:val="004C4C1E"/>
    <w:rsid w:val="004D069E"/>
    <w:rsid w:val="004D0C34"/>
    <w:rsid w:val="004D56B9"/>
    <w:rsid w:val="004D6214"/>
    <w:rsid w:val="004D7EF7"/>
    <w:rsid w:val="004E0198"/>
    <w:rsid w:val="004E120F"/>
    <w:rsid w:val="004E15CE"/>
    <w:rsid w:val="004E2D6D"/>
    <w:rsid w:val="004E30B8"/>
    <w:rsid w:val="004E3D84"/>
    <w:rsid w:val="004E6672"/>
    <w:rsid w:val="004E6B0F"/>
    <w:rsid w:val="004E6C82"/>
    <w:rsid w:val="004F2609"/>
    <w:rsid w:val="004F2C7F"/>
    <w:rsid w:val="004F6481"/>
    <w:rsid w:val="004F67A4"/>
    <w:rsid w:val="004F6870"/>
    <w:rsid w:val="004F73F3"/>
    <w:rsid w:val="00501F41"/>
    <w:rsid w:val="00502C07"/>
    <w:rsid w:val="00504065"/>
    <w:rsid w:val="00506629"/>
    <w:rsid w:val="005100E0"/>
    <w:rsid w:val="00511CCC"/>
    <w:rsid w:val="00512914"/>
    <w:rsid w:val="00514074"/>
    <w:rsid w:val="00515716"/>
    <w:rsid w:val="00517E43"/>
    <w:rsid w:val="005204D6"/>
    <w:rsid w:val="005207EB"/>
    <w:rsid w:val="005217DA"/>
    <w:rsid w:val="00522570"/>
    <w:rsid w:val="00522D9F"/>
    <w:rsid w:val="005242DA"/>
    <w:rsid w:val="0053077D"/>
    <w:rsid w:val="0053116C"/>
    <w:rsid w:val="00531CBC"/>
    <w:rsid w:val="00532419"/>
    <w:rsid w:val="005343DF"/>
    <w:rsid w:val="005366A9"/>
    <w:rsid w:val="00537A3A"/>
    <w:rsid w:val="00537A6C"/>
    <w:rsid w:val="005425FF"/>
    <w:rsid w:val="00544011"/>
    <w:rsid w:val="00545E45"/>
    <w:rsid w:val="00546859"/>
    <w:rsid w:val="005468AD"/>
    <w:rsid w:val="00547BFA"/>
    <w:rsid w:val="00551B65"/>
    <w:rsid w:val="0055376B"/>
    <w:rsid w:val="005548CD"/>
    <w:rsid w:val="00554943"/>
    <w:rsid w:val="0055509C"/>
    <w:rsid w:val="00556173"/>
    <w:rsid w:val="005641DC"/>
    <w:rsid w:val="00567A6D"/>
    <w:rsid w:val="0057027A"/>
    <w:rsid w:val="00570C94"/>
    <w:rsid w:val="005720D0"/>
    <w:rsid w:val="00572428"/>
    <w:rsid w:val="005752DF"/>
    <w:rsid w:val="00577B08"/>
    <w:rsid w:val="00577F93"/>
    <w:rsid w:val="00577F9C"/>
    <w:rsid w:val="00583553"/>
    <w:rsid w:val="00584205"/>
    <w:rsid w:val="0059001C"/>
    <w:rsid w:val="005930DC"/>
    <w:rsid w:val="00593927"/>
    <w:rsid w:val="005956CE"/>
    <w:rsid w:val="00595880"/>
    <w:rsid w:val="00595CC0"/>
    <w:rsid w:val="00597AD7"/>
    <w:rsid w:val="005A2203"/>
    <w:rsid w:val="005A2213"/>
    <w:rsid w:val="005A4254"/>
    <w:rsid w:val="005A4728"/>
    <w:rsid w:val="005A728C"/>
    <w:rsid w:val="005B0980"/>
    <w:rsid w:val="005B1554"/>
    <w:rsid w:val="005B21FB"/>
    <w:rsid w:val="005B59BA"/>
    <w:rsid w:val="005B72F1"/>
    <w:rsid w:val="005B7689"/>
    <w:rsid w:val="005C2299"/>
    <w:rsid w:val="005C3963"/>
    <w:rsid w:val="005C5FA5"/>
    <w:rsid w:val="005C69DD"/>
    <w:rsid w:val="005C7164"/>
    <w:rsid w:val="005C72B6"/>
    <w:rsid w:val="005C744D"/>
    <w:rsid w:val="005C7B7C"/>
    <w:rsid w:val="005D2953"/>
    <w:rsid w:val="005D2BDE"/>
    <w:rsid w:val="005D52FF"/>
    <w:rsid w:val="005D731A"/>
    <w:rsid w:val="005E1447"/>
    <w:rsid w:val="005E24CC"/>
    <w:rsid w:val="005E30BB"/>
    <w:rsid w:val="005E3AFA"/>
    <w:rsid w:val="005E3D72"/>
    <w:rsid w:val="005E406C"/>
    <w:rsid w:val="005E4EDC"/>
    <w:rsid w:val="005E65E1"/>
    <w:rsid w:val="005E7EE7"/>
    <w:rsid w:val="005F0D8B"/>
    <w:rsid w:val="005F11B0"/>
    <w:rsid w:val="005F521A"/>
    <w:rsid w:val="005F6B75"/>
    <w:rsid w:val="006011A4"/>
    <w:rsid w:val="00601D87"/>
    <w:rsid w:val="006041E4"/>
    <w:rsid w:val="00604314"/>
    <w:rsid w:val="00604BBE"/>
    <w:rsid w:val="00605AB5"/>
    <w:rsid w:val="00607462"/>
    <w:rsid w:val="00610315"/>
    <w:rsid w:val="006104B7"/>
    <w:rsid w:val="006105AE"/>
    <w:rsid w:val="00611970"/>
    <w:rsid w:val="0061348C"/>
    <w:rsid w:val="006166E3"/>
    <w:rsid w:val="006200AD"/>
    <w:rsid w:val="006215CC"/>
    <w:rsid w:val="0062241C"/>
    <w:rsid w:val="00623FAE"/>
    <w:rsid w:val="006244EF"/>
    <w:rsid w:val="00624AFF"/>
    <w:rsid w:val="0062789C"/>
    <w:rsid w:val="00631D35"/>
    <w:rsid w:val="006344BF"/>
    <w:rsid w:val="006346C7"/>
    <w:rsid w:val="006364E2"/>
    <w:rsid w:val="0063780B"/>
    <w:rsid w:val="006378CA"/>
    <w:rsid w:val="006401DE"/>
    <w:rsid w:val="00640472"/>
    <w:rsid w:val="0064075C"/>
    <w:rsid w:val="00640C85"/>
    <w:rsid w:val="00643E63"/>
    <w:rsid w:val="00644331"/>
    <w:rsid w:val="00644621"/>
    <w:rsid w:val="00646268"/>
    <w:rsid w:val="00650526"/>
    <w:rsid w:val="00651A90"/>
    <w:rsid w:val="00651DA8"/>
    <w:rsid w:val="006535DC"/>
    <w:rsid w:val="00653DAB"/>
    <w:rsid w:val="006545C0"/>
    <w:rsid w:val="00657F77"/>
    <w:rsid w:val="00661B79"/>
    <w:rsid w:val="0066258D"/>
    <w:rsid w:val="00664090"/>
    <w:rsid w:val="006647F8"/>
    <w:rsid w:val="00665611"/>
    <w:rsid w:val="00672294"/>
    <w:rsid w:val="006726D0"/>
    <w:rsid w:val="00676A21"/>
    <w:rsid w:val="006810DE"/>
    <w:rsid w:val="006820C6"/>
    <w:rsid w:val="00682B01"/>
    <w:rsid w:val="00684E56"/>
    <w:rsid w:val="0068669D"/>
    <w:rsid w:val="0068726D"/>
    <w:rsid w:val="00690410"/>
    <w:rsid w:val="006911F4"/>
    <w:rsid w:val="00692B21"/>
    <w:rsid w:val="006947A1"/>
    <w:rsid w:val="006949B8"/>
    <w:rsid w:val="0069510A"/>
    <w:rsid w:val="006953E4"/>
    <w:rsid w:val="00696BE9"/>
    <w:rsid w:val="00696D7B"/>
    <w:rsid w:val="006A1BF3"/>
    <w:rsid w:val="006A3F41"/>
    <w:rsid w:val="006A5082"/>
    <w:rsid w:val="006A5C46"/>
    <w:rsid w:val="006A61F7"/>
    <w:rsid w:val="006A7E66"/>
    <w:rsid w:val="006B0178"/>
    <w:rsid w:val="006B10A8"/>
    <w:rsid w:val="006B144A"/>
    <w:rsid w:val="006B264E"/>
    <w:rsid w:val="006B2A75"/>
    <w:rsid w:val="006B3750"/>
    <w:rsid w:val="006C0A49"/>
    <w:rsid w:val="006C10A7"/>
    <w:rsid w:val="006C1747"/>
    <w:rsid w:val="006C1944"/>
    <w:rsid w:val="006C2405"/>
    <w:rsid w:val="006C2573"/>
    <w:rsid w:val="006C41A6"/>
    <w:rsid w:val="006C5948"/>
    <w:rsid w:val="006C7C49"/>
    <w:rsid w:val="006D17BE"/>
    <w:rsid w:val="006D2165"/>
    <w:rsid w:val="006D2A85"/>
    <w:rsid w:val="006D2DB9"/>
    <w:rsid w:val="006D3173"/>
    <w:rsid w:val="006D6A73"/>
    <w:rsid w:val="006D7993"/>
    <w:rsid w:val="006E069A"/>
    <w:rsid w:val="006E167F"/>
    <w:rsid w:val="006E39D6"/>
    <w:rsid w:val="006E636C"/>
    <w:rsid w:val="006F10FF"/>
    <w:rsid w:val="006F1A3D"/>
    <w:rsid w:val="006F2761"/>
    <w:rsid w:val="006F3CAA"/>
    <w:rsid w:val="006F622C"/>
    <w:rsid w:val="00700019"/>
    <w:rsid w:val="007009D9"/>
    <w:rsid w:val="007015BB"/>
    <w:rsid w:val="00702525"/>
    <w:rsid w:val="00702BAA"/>
    <w:rsid w:val="007045FA"/>
    <w:rsid w:val="00705670"/>
    <w:rsid w:val="0070768A"/>
    <w:rsid w:val="007076AC"/>
    <w:rsid w:val="00710701"/>
    <w:rsid w:val="00711690"/>
    <w:rsid w:val="00713DB9"/>
    <w:rsid w:val="00713F2C"/>
    <w:rsid w:val="00715B29"/>
    <w:rsid w:val="00715D3C"/>
    <w:rsid w:val="00721231"/>
    <w:rsid w:val="00723675"/>
    <w:rsid w:val="00723B33"/>
    <w:rsid w:val="0072645C"/>
    <w:rsid w:val="007277A8"/>
    <w:rsid w:val="00731AB2"/>
    <w:rsid w:val="00732660"/>
    <w:rsid w:val="007332CD"/>
    <w:rsid w:val="0073732A"/>
    <w:rsid w:val="00737AE3"/>
    <w:rsid w:val="00737FE5"/>
    <w:rsid w:val="007404C0"/>
    <w:rsid w:val="007405BE"/>
    <w:rsid w:val="00740957"/>
    <w:rsid w:val="00742F07"/>
    <w:rsid w:val="007432B7"/>
    <w:rsid w:val="00743431"/>
    <w:rsid w:val="0074466B"/>
    <w:rsid w:val="0074492C"/>
    <w:rsid w:val="007452BF"/>
    <w:rsid w:val="007454F6"/>
    <w:rsid w:val="0074572A"/>
    <w:rsid w:val="00751111"/>
    <w:rsid w:val="0075342E"/>
    <w:rsid w:val="00753CEA"/>
    <w:rsid w:val="007559BA"/>
    <w:rsid w:val="00756A02"/>
    <w:rsid w:val="00760232"/>
    <w:rsid w:val="00761D6D"/>
    <w:rsid w:val="00766624"/>
    <w:rsid w:val="0076750C"/>
    <w:rsid w:val="00770E21"/>
    <w:rsid w:val="007715C4"/>
    <w:rsid w:val="0078156E"/>
    <w:rsid w:val="0078408F"/>
    <w:rsid w:val="00785122"/>
    <w:rsid w:val="007864C5"/>
    <w:rsid w:val="00786BDB"/>
    <w:rsid w:val="00787B60"/>
    <w:rsid w:val="00790609"/>
    <w:rsid w:val="00793C09"/>
    <w:rsid w:val="0079516B"/>
    <w:rsid w:val="007962B9"/>
    <w:rsid w:val="007A10AD"/>
    <w:rsid w:val="007A1A1D"/>
    <w:rsid w:val="007A1CA5"/>
    <w:rsid w:val="007A2741"/>
    <w:rsid w:val="007A34CD"/>
    <w:rsid w:val="007A70A9"/>
    <w:rsid w:val="007B02AD"/>
    <w:rsid w:val="007B05A7"/>
    <w:rsid w:val="007B05FF"/>
    <w:rsid w:val="007B16F4"/>
    <w:rsid w:val="007B1740"/>
    <w:rsid w:val="007B1CBA"/>
    <w:rsid w:val="007B343C"/>
    <w:rsid w:val="007B367B"/>
    <w:rsid w:val="007B4B2E"/>
    <w:rsid w:val="007B50A9"/>
    <w:rsid w:val="007B6157"/>
    <w:rsid w:val="007B6B30"/>
    <w:rsid w:val="007B6CA2"/>
    <w:rsid w:val="007C0721"/>
    <w:rsid w:val="007C2379"/>
    <w:rsid w:val="007C2C0D"/>
    <w:rsid w:val="007C2CD6"/>
    <w:rsid w:val="007C3F21"/>
    <w:rsid w:val="007C4541"/>
    <w:rsid w:val="007C4833"/>
    <w:rsid w:val="007C4D10"/>
    <w:rsid w:val="007C555B"/>
    <w:rsid w:val="007C64CB"/>
    <w:rsid w:val="007C6ECB"/>
    <w:rsid w:val="007C7612"/>
    <w:rsid w:val="007C7B96"/>
    <w:rsid w:val="007D151A"/>
    <w:rsid w:val="007D19BE"/>
    <w:rsid w:val="007D1F63"/>
    <w:rsid w:val="007D6957"/>
    <w:rsid w:val="007D696C"/>
    <w:rsid w:val="007D69AF"/>
    <w:rsid w:val="007D7DD3"/>
    <w:rsid w:val="007E04AA"/>
    <w:rsid w:val="007E1603"/>
    <w:rsid w:val="007E4FE1"/>
    <w:rsid w:val="007E6B7B"/>
    <w:rsid w:val="007E79A7"/>
    <w:rsid w:val="007F03A2"/>
    <w:rsid w:val="007F3CFA"/>
    <w:rsid w:val="007F7951"/>
    <w:rsid w:val="007F7E7C"/>
    <w:rsid w:val="008009DA"/>
    <w:rsid w:val="00800DEF"/>
    <w:rsid w:val="00801AC4"/>
    <w:rsid w:val="008037BF"/>
    <w:rsid w:val="00804B9D"/>
    <w:rsid w:val="00806ACE"/>
    <w:rsid w:val="00806BA0"/>
    <w:rsid w:val="00811AA0"/>
    <w:rsid w:val="008128A2"/>
    <w:rsid w:val="00813F36"/>
    <w:rsid w:val="0081644C"/>
    <w:rsid w:val="00820F5C"/>
    <w:rsid w:val="00821E3D"/>
    <w:rsid w:val="0082389F"/>
    <w:rsid w:val="00823D40"/>
    <w:rsid w:val="008243D0"/>
    <w:rsid w:val="0082595A"/>
    <w:rsid w:val="00826E53"/>
    <w:rsid w:val="0082712F"/>
    <w:rsid w:val="00827303"/>
    <w:rsid w:val="00827EB4"/>
    <w:rsid w:val="00830F6A"/>
    <w:rsid w:val="008313A6"/>
    <w:rsid w:val="0083206B"/>
    <w:rsid w:val="0083251A"/>
    <w:rsid w:val="008328B9"/>
    <w:rsid w:val="00832B6A"/>
    <w:rsid w:val="00832FEA"/>
    <w:rsid w:val="0083345E"/>
    <w:rsid w:val="00833878"/>
    <w:rsid w:val="00833F45"/>
    <w:rsid w:val="008367A5"/>
    <w:rsid w:val="00836BCC"/>
    <w:rsid w:val="008413E4"/>
    <w:rsid w:val="008451BE"/>
    <w:rsid w:val="00845318"/>
    <w:rsid w:val="00850B9E"/>
    <w:rsid w:val="00850F35"/>
    <w:rsid w:val="00852B53"/>
    <w:rsid w:val="00853D4E"/>
    <w:rsid w:val="008548DA"/>
    <w:rsid w:val="00856C65"/>
    <w:rsid w:val="00860885"/>
    <w:rsid w:val="00861848"/>
    <w:rsid w:val="00863D9C"/>
    <w:rsid w:val="00864782"/>
    <w:rsid w:val="0086483A"/>
    <w:rsid w:val="00865399"/>
    <w:rsid w:val="008720E1"/>
    <w:rsid w:val="00872205"/>
    <w:rsid w:val="00873048"/>
    <w:rsid w:val="0087413C"/>
    <w:rsid w:val="00874824"/>
    <w:rsid w:val="00874B9A"/>
    <w:rsid w:val="00875A2F"/>
    <w:rsid w:val="00876592"/>
    <w:rsid w:val="00877CF7"/>
    <w:rsid w:val="00882512"/>
    <w:rsid w:val="0088267A"/>
    <w:rsid w:val="0088491B"/>
    <w:rsid w:val="008860D5"/>
    <w:rsid w:val="008875D9"/>
    <w:rsid w:val="0088766F"/>
    <w:rsid w:val="008878E7"/>
    <w:rsid w:val="00890F10"/>
    <w:rsid w:val="00891703"/>
    <w:rsid w:val="00892431"/>
    <w:rsid w:val="00893D98"/>
    <w:rsid w:val="00896032"/>
    <w:rsid w:val="008A26BD"/>
    <w:rsid w:val="008A3A97"/>
    <w:rsid w:val="008A44B3"/>
    <w:rsid w:val="008A4853"/>
    <w:rsid w:val="008A50A6"/>
    <w:rsid w:val="008A56CC"/>
    <w:rsid w:val="008A5E3C"/>
    <w:rsid w:val="008A61DB"/>
    <w:rsid w:val="008A643D"/>
    <w:rsid w:val="008A6A78"/>
    <w:rsid w:val="008A7D7B"/>
    <w:rsid w:val="008B04D7"/>
    <w:rsid w:val="008B05DD"/>
    <w:rsid w:val="008B0668"/>
    <w:rsid w:val="008B44D1"/>
    <w:rsid w:val="008B4A59"/>
    <w:rsid w:val="008B6442"/>
    <w:rsid w:val="008C07CB"/>
    <w:rsid w:val="008C173E"/>
    <w:rsid w:val="008C20F4"/>
    <w:rsid w:val="008C2D6C"/>
    <w:rsid w:val="008C3411"/>
    <w:rsid w:val="008C45E5"/>
    <w:rsid w:val="008C5B0E"/>
    <w:rsid w:val="008D2786"/>
    <w:rsid w:val="008D36D8"/>
    <w:rsid w:val="008D42C2"/>
    <w:rsid w:val="008D5EDF"/>
    <w:rsid w:val="008D64EA"/>
    <w:rsid w:val="008D7258"/>
    <w:rsid w:val="008D7690"/>
    <w:rsid w:val="008D7759"/>
    <w:rsid w:val="008E1AD1"/>
    <w:rsid w:val="008E7C41"/>
    <w:rsid w:val="008F3E6A"/>
    <w:rsid w:val="008F4EC3"/>
    <w:rsid w:val="008F618D"/>
    <w:rsid w:val="009000A9"/>
    <w:rsid w:val="00903A51"/>
    <w:rsid w:val="00903EF6"/>
    <w:rsid w:val="009050FC"/>
    <w:rsid w:val="00905D71"/>
    <w:rsid w:val="009100AB"/>
    <w:rsid w:val="00910311"/>
    <w:rsid w:val="00910D6F"/>
    <w:rsid w:val="009116F6"/>
    <w:rsid w:val="00911FF3"/>
    <w:rsid w:val="009123DF"/>
    <w:rsid w:val="00912BD1"/>
    <w:rsid w:val="009171B6"/>
    <w:rsid w:val="00917E1A"/>
    <w:rsid w:val="0092096A"/>
    <w:rsid w:val="00921116"/>
    <w:rsid w:val="00922177"/>
    <w:rsid w:val="0092283F"/>
    <w:rsid w:val="00923E2C"/>
    <w:rsid w:val="00925BE3"/>
    <w:rsid w:val="0092606D"/>
    <w:rsid w:val="0092625A"/>
    <w:rsid w:val="00926CF5"/>
    <w:rsid w:val="0092784A"/>
    <w:rsid w:val="00931918"/>
    <w:rsid w:val="00932DB6"/>
    <w:rsid w:val="009334F9"/>
    <w:rsid w:val="00936593"/>
    <w:rsid w:val="00937603"/>
    <w:rsid w:val="00942340"/>
    <w:rsid w:val="009429B1"/>
    <w:rsid w:val="009438BC"/>
    <w:rsid w:val="00943C22"/>
    <w:rsid w:val="00944615"/>
    <w:rsid w:val="00944813"/>
    <w:rsid w:val="00944F55"/>
    <w:rsid w:val="00944FD6"/>
    <w:rsid w:val="00945316"/>
    <w:rsid w:val="0094537E"/>
    <w:rsid w:val="00946F5B"/>
    <w:rsid w:val="00947394"/>
    <w:rsid w:val="00947C0A"/>
    <w:rsid w:val="009502FB"/>
    <w:rsid w:val="00954B05"/>
    <w:rsid w:val="009552DB"/>
    <w:rsid w:val="00961263"/>
    <w:rsid w:val="00963040"/>
    <w:rsid w:val="00964BC0"/>
    <w:rsid w:val="00965307"/>
    <w:rsid w:val="00970C6C"/>
    <w:rsid w:val="00972D40"/>
    <w:rsid w:val="00981BD3"/>
    <w:rsid w:val="009842F2"/>
    <w:rsid w:val="009862BA"/>
    <w:rsid w:val="009874EA"/>
    <w:rsid w:val="009903C8"/>
    <w:rsid w:val="00992721"/>
    <w:rsid w:val="00994CF3"/>
    <w:rsid w:val="00995EB9"/>
    <w:rsid w:val="009A045A"/>
    <w:rsid w:val="009A08DE"/>
    <w:rsid w:val="009A175C"/>
    <w:rsid w:val="009A5CBE"/>
    <w:rsid w:val="009A67BB"/>
    <w:rsid w:val="009A7C93"/>
    <w:rsid w:val="009B00A1"/>
    <w:rsid w:val="009B04D8"/>
    <w:rsid w:val="009B2E1F"/>
    <w:rsid w:val="009B3B5A"/>
    <w:rsid w:val="009B42C2"/>
    <w:rsid w:val="009C227D"/>
    <w:rsid w:val="009C3FAD"/>
    <w:rsid w:val="009C50FC"/>
    <w:rsid w:val="009C6F75"/>
    <w:rsid w:val="009C7A7F"/>
    <w:rsid w:val="009D0059"/>
    <w:rsid w:val="009D0D05"/>
    <w:rsid w:val="009D11AF"/>
    <w:rsid w:val="009D1313"/>
    <w:rsid w:val="009D1E37"/>
    <w:rsid w:val="009D28D5"/>
    <w:rsid w:val="009D3D55"/>
    <w:rsid w:val="009D442F"/>
    <w:rsid w:val="009D55F1"/>
    <w:rsid w:val="009D57E8"/>
    <w:rsid w:val="009D5C13"/>
    <w:rsid w:val="009E174D"/>
    <w:rsid w:val="009E2179"/>
    <w:rsid w:val="009E492A"/>
    <w:rsid w:val="009E726B"/>
    <w:rsid w:val="009E7525"/>
    <w:rsid w:val="009F21F3"/>
    <w:rsid w:val="009F2720"/>
    <w:rsid w:val="009F5017"/>
    <w:rsid w:val="009F565D"/>
    <w:rsid w:val="009F5EC0"/>
    <w:rsid w:val="009F7B36"/>
    <w:rsid w:val="00A02525"/>
    <w:rsid w:val="00A02845"/>
    <w:rsid w:val="00A043F3"/>
    <w:rsid w:val="00A04534"/>
    <w:rsid w:val="00A05033"/>
    <w:rsid w:val="00A0572D"/>
    <w:rsid w:val="00A06932"/>
    <w:rsid w:val="00A124F4"/>
    <w:rsid w:val="00A1394E"/>
    <w:rsid w:val="00A15DB4"/>
    <w:rsid w:val="00A15FA2"/>
    <w:rsid w:val="00A1752E"/>
    <w:rsid w:val="00A179A6"/>
    <w:rsid w:val="00A206B7"/>
    <w:rsid w:val="00A20AA1"/>
    <w:rsid w:val="00A24994"/>
    <w:rsid w:val="00A24F9B"/>
    <w:rsid w:val="00A25FE4"/>
    <w:rsid w:val="00A27371"/>
    <w:rsid w:val="00A300B2"/>
    <w:rsid w:val="00A311DE"/>
    <w:rsid w:val="00A3131A"/>
    <w:rsid w:val="00A31383"/>
    <w:rsid w:val="00A31B17"/>
    <w:rsid w:val="00A3229E"/>
    <w:rsid w:val="00A35563"/>
    <w:rsid w:val="00A37D47"/>
    <w:rsid w:val="00A37E2B"/>
    <w:rsid w:val="00A40389"/>
    <w:rsid w:val="00A40EB7"/>
    <w:rsid w:val="00A4120B"/>
    <w:rsid w:val="00A43224"/>
    <w:rsid w:val="00A4610F"/>
    <w:rsid w:val="00A47551"/>
    <w:rsid w:val="00A5001D"/>
    <w:rsid w:val="00A504A5"/>
    <w:rsid w:val="00A52AE3"/>
    <w:rsid w:val="00A575B6"/>
    <w:rsid w:val="00A57898"/>
    <w:rsid w:val="00A60BE7"/>
    <w:rsid w:val="00A61BBD"/>
    <w:rsid w:val="00A61C0F"/>
    <w:rsid w:val="00A630CD"/>
    <w:rsid w:val="00A65041"/>
    <w:rsid w:val="00A7062E"/>
    <w:rsid w:val="00A70D28"/>
    <w:rsid w:val="00A725BD"/>
    <w:rsid w:val="00A736B1"/>
    <w:rsid w:val="00A738B7"/>
    <w:rsid w:val="00A74318"/>
    <w:rsid w:val="00A743FF"/>
    <w:rsid w:val="00A75E73"/>
    <w:rsid w:val="00A76121"/>
    <w:rsid w:val="00A761B7"/>
    <w:rsid w:val="00A76221"/>
    <w:rsid w:val="00A76692"/>
    <w:rsid w:val="00A77065"/>
    <w:rsid w:val="00A806BE"/>
    <w:rsid w:val="00A8125D"/>
    <w:rsid w:val="00A8127A"/>
    <w:rsid w:val="00A83246"/>
    <w:rsid w:val="00A85E9A"/>
    <w:rsid w:val="00A86595"/>
    <w:rsid w:val="00A91572"/>
    <w:rsid w:val="00A9386F"/>
    <w:rsid w:val="00A93A9D"/>
    <w:rsid w:val="00A959E7"/>
    <w:rsid w:val="00A95A78"/>
    <w:rsid w:val="00A970FB"/>
    <w:rsid w:val="00AA0CFE"/>
    <w:rsid w:val="00AA21D8"/>
    <w:rsid w:val="00AA3A4F"/>
    <w:rsid w:val="00AA44DF"/>
    <w:rsid w:val="00AA4EEB"/>
    <w:rsid w:val="00AA5E13"/>
    <w:rsid w:val="00AA77CE"/>
    <w:rsid w:val="00AB01D9"/>
    <w:rsid w:val="00AB23CF"/>
    <w:rsid w:val="00AB3F5D"/>
    <w:rsid w:val="00AB428D"/>
    <w:rsid w:val="00AB623B"/>
    <w:rsid w:val="00AB7D8B"/>
    <w:rsid w:val="00AC0AF6"/>
    <w:rsid w:val="00AC2EF8"/>
    <w:rsid w:val="00AC38F0"/>
    <w:rsid w:val="00AC3E32"/>
    <w:rsid w:val="00AC4ABF"/>
    <w:rsid w:val="00AC4C9B"/>
    <w:rsid w:val="00AC6C1E"/>
    <w:rsid w:val="00AD05BE"/>
    <w:rsid w:val="00AD0828"/>
    <w:rsid w:val="00AD2086"/>
    <w:rsid w:val="00AD2803"/>
    <w:rsid w:val="00AD618A"/>
    <w:rsid w:val="00AD6AC1"/>
    <w:rsid w:val="00AD78C2"/>
    <w:rsid w:val="00AD7998"/>
    <w:rsid w:val="00AE051B"/>
    <w:rsid w:val="00AE0855"/>
    <w:rsid w:val="00AE0E97"/>
    <w:rsid w:val="00AE3AAC"/>
    <w:rsid w:val="00AE6119"/>
    <w:rsid w:val="00AE7180"/>
    <w:rsid w:val="00AE7FEA"/>
    <w:rsid w:val="00AF2B43"/>
    <w:rsid w:val="00AF2DCC"/>
    <w:rsid w:val="00AF45B4"/>
    <w:rsid w:val="00AF4CCF"/>
    <w:rsid w:val="00AF4DB6"/>
    <w:rsid w:val="00AF4F95"/>
    <w:rsid w:val="00AF575E"/>
    <w:rsid w:val="00AF65BF"/>
    <w:rsid w:val="00B0163C"/>
    <w:rsid w:val="00B01BEA"/>
    <w:rsid w:val="00B027F9"/>
    <w:rsid w:val="00B0301D"/>
    <w:rsid w:val="00B06228"/>
    <w:rsid w:val="00B06BC2"/>
    <w:rsid w:val="00B076AD"/>
    <w:rsid w:val="00B07E06"/>
    <w:rsid w:val="00B147C8"/>
    <w:rsid w:val="00B15BED"/>
    <w:rsid w:val="00B16E37"/>
    <w:rsid w:val="00B1764F"/>
    <w:rsid w:val="00B178C8"/>
    <w:rsid w:val="00B20417"/>
    <w:rsid w:val="00B2220D"/>
    <w:rsid w:val="00B254A4"/>
    <w:rsid w:val="00B257D9"/>
    <w:rsid w:val="00B25DB5"/>
    <w:rsid w:val="00B26B82"/>
    <w:rsid w:val="00B3140E"/>
    <w:rsid w:val="00B31916"/>
    <w:rsid w:val="00B31DC0"/>
    <w:rsid w:val="00B32E07"/>
    <w:rsid w:val="00B33637"/>
    <w:rsid w:val="00B354AF"/>
    <w:rsid w:val="00B4024F"/>
    <w:rsid w:val="00B4125A"/>
    <w:rsid w:val="00B41407"/>
    <w:rsid w:val="00B418A9"/>
    <w:rsid w:val="00B51004"/>
    <w:rsid w:val="00B54E34"/>
    <w:rsid w:val="00B554AF"/>
    <w:rsid w:val="00B56A14"/>
    <w:rsid w:val="00B57A12"/>
    <w:rsid w:val="00B57EC3"/>
    <w:rsid w:val="00B60B04"/>
    <w:rsid w:val="00B64803"/>
    <w:rsid w:val="00B71B26"/>
    <w:rsid w:val="00B74249"/>
    <w:rsid w:val="00B756CB"/>
    <w:rsid w:val="00B7606B"/>
    <w:rsid w:val="00B76FB4"/>
    <w:rsid w:val="00B77411"/>
    <w:rsid w:val="00B80505"/>
    <w:rsid w:val="00B83410"/>
    <w:rsid w:val="00B83BAD"/>
    <w:rsid w:val="00B872FD"/>
    <w:rsid w:val="00B8789D"/>
    <w:rsid w:val="00B92417"/>
    <w:rsid w:val="00B92A75"/>
    <w:rsid w:val="00BA0726"/>
    <w:rsid w:val="00BA1156"/>
    <w:rsid w:val="00BA20AC"/>
    <w:rsid w:val="00BA20F7"/>
    <w:rsid w:val="00BA332C"/>
    <w:rsid w:val="00BA3501"/>
    <w:rsid w:val="00BA38C8"/>
    <w:rsid w:val="00BA6AEC"/>
    <w:rsid w:val="00BA6CAD"/>
    <w:rsid w:val="00BA6DB2"/>
    <w:rsid w:val="00BA77B2"/>
    <w:rsid w:val="00BB09C3"/>
    <w:rsid w:val="00BB243F"/>
    <w:rsid w:val="00BB2BAC"/>
    <w:rsid w:val="00BB336A"/>
    <w:rsid w:val="00BB3E95"/>
    <w:rsid w:val="00BB5A54"/>
    <w:rsid w:val="00BB5DC3"/>
    <w:rsid w:val="00BB6ACE"/>
    <w:rsid w:val="00BB79E8"/>
    <w:rsid w:val="00BC04A0"/>
    <w:rsid w:val="00BC1346"/>
    <w:rsid w:val="00BC2E6E"/>
    <w:rsid w:val="00BC3520"/>
    <w:rsid w:val="00BC36ED"/>
    <w:rsid w:val="00BC4635"/>
    <w:rsid w:val="00BC618C"/>
    <w:rsid w:val="00BC68E2"/>
    <w:rsid w:val="00BD1319"/>
    <w:rsid w:val="00BD1756"/>
    <w:rsid w:val="00BD204C"/>
    <w:rsid w:val="00BD357D"/>
    <w:rsid w:val="00BD45C3"/>
    <w:rsid w:val="00BD52EE"/>
    <w:rsid w:val="00BD6B7B"/>
    <w:rsid w:val="00BD700E"/>
    <w:rsid w:val="00BD720B"/>
    <w:rsid w:val="00BD7D0D"/>
    <w:rsid w:val="00BE0F15"/>
    <w:rsid w:val="00BE1558"/>
    <w:rsid w:val="00BE3449"/>
    <w:rsid w:val="00BE4099"/>
    <w:rsid w:val="00BE43B6"/>
    <w:rsid w:val="00BE6BE1"/>
    <w:rsid w:val="00BF05DC"/>
    <w:rsid w:val="00BF329E"/>
    <w:rsid w:val="00BF4497"/>
    <w:rsid w:val="00BF5021"/>
    <w:rsid w:val="00BF637B"/>
    <w:rsid w:val="00BF6905"/>
    <w:rsid w:val="00C0014F"/>
    <w:rsid w:val="00C02079"/>
    <w:rsid w:val="00C02BD5"/>
    <w:rsid w:val="00C034E0"/>
    <w:rsid w:val="00C04CDA"/>
    <w:rsid w:val="00C065BB"/>
    <w:rsid w:val="00C06EB9"/>
    <w:rsid w:val="00C06F76"/>
    <w:rsid w:val="00C11715"/>
    <w:rsid w:val="00C11D58"/>
    <w:rsid w:val="00C12AC2"/>
    <w:rsid w:val="00C13913"/>
    <w:rsid w:val="00C15677"/>
    <w:rsid w:val="00C15CDA"/>
    <w:rsid w:val="00C15FFB"/>
    <w:rsid w:val="00C16434"/>
    <w:rsid w:val="00C166B4"/>
    <w:rsid w:val="00C16F86"/>
    <w:rsid w:val="00C17206"/>
    <w:rsid w:val="00C17587"/>
    <w:rsid w:val="00C1783A"/>
    <w:rsid w:val="00C17DFC"/>
    <w:rsid w:val="00C20062"/>
    <w:rsid w:val="00C217B8"/>
    <w:rsid w:val="00C227F4"/>
    <w:rsid w:val="00C22C68"/>
    <w:rsid w:val="00C25366"/>
    <w:rsid w:val="00C254BF"/>
    <w:rsid w:val="00C27003"/>
    <w:rsid w:val="00C300B5"/>
    <w:rsid w:val="00C30ACB"/>
    <w:rsid w:val="00C329BC"/>
    <w:rsid w:val="00C34D70"/>
    <w:rsid w:val="00C35D92"/>
    <w:rsid w:val="00C36C16"/>
    <w:rsid w:val="00C432C5"/>
    <w:rsid w:val="00C43A55"/>
    <w:rsid w:val="00C44219"/>
    <w:rsid w:val="00C47BB0"/>
    <w:rsid w:val="00C50C50"/>
    <w:rsid w:val="00C519AB"/>
    <w:rsid w:val="00C53C67"/>
    <w:rsid w:val="00C54519"/>
    <w:rsid w:val="00C5587C"/>
    <w:rsid w:val="00C573BF"/>
    <w:rsid w:val="00C62614"/>
    <w:rsid w:val="00C626B6"/>
    <w:rsid w:val="00C6319C"/>
    <w:rsid w:val="00C6646E"/>
    <w:rsid w:val="00C66C32"/>
    <w:rsid w:val="00C670B1"/>
    <w:rsid w:val="00C672ED"/>
    <w:rsid w:val="00C702D5"/>
    <w:rsid w:val="00C72F47"/>
    <w:rsid w:val="00C73FF5"/>
    <w:rsid w:val="00C745A0"/>
    <w:rsid w:val="00C74FDE"/>
    <w:rsid w:val="00C77159"/>
    <w:rsid w:val="00C81AD1"/>
    <w:rsid w:val="00C85119"/>
    <w:rsid w:val="00C851F4"/>
    <w:rsid w:val="00C85572"/>
    <w:rsid w:val="00C906A5"/>
    <w:rsid w:val="00C93208"/>
    <w:rsid w:val="00C96C22"/>
    <w:rsid w:val="00C96E9C"/>
    <w:rsid w:val="00C9794C"/>
    <w:rsid w:val="00CA1271"/>
    <w:rsid w:val="00CA1A90"/>
    <w:rsid w:val="00CA63F9"/>
    <w:rsid w:val="00CA769A"/>
    <w:rsid w:val="00CA7E33"/>
    <w:rsid w:val="00CB08B5"/>
    <w:rsid w:val="00CB20F0"/>
    <w:rsid w:val="00CB2F46"/>
    <w:rsid w:val="00CB32BB"/>
    <w:rsid w:val="00CB4804"/>
    <w:rsid w:val="00CB5718"/>
    <w:rsid w:val="00CB5D22"/>
    <w:rsid w:val="00CB685F"/>
    <w:rsid w:val="00CB69C9"/>
    <w:rsid w:val="00CB6B69"/>
    <w:rsid w:val="00CB777F"/>
    <w:rsid w:val="00CC0EF3"/>
    <w:rsid w:val="00CC1D1F"/>
    <w:rsid w:val="00CD0435"/>
    <w:rsid w:val="00CD0A80"/>
    <w:rsid w:val="00CD16D1"/>
    <w:rsid w:val="00CD59A9"/>
    <w:rsid w:val="00CD649F"/>
    <w:rsid w:val="00CD7206"/>
    <w:rsid w:val="00CD7E9B"/>
    <w:rsid w:val="00CE1006"/>
    <w:rsid w:val="00CE4C47"/>
    <w:rsid w:val="00CE557A"/>
    <w:rsid w:val="00CE79D8"/>
    <w:rsid w:val="00CF078B"/>
    <w:rsid w:val="00CF3339"/>
    <w:rsid w:val="00CF5EFE"/>
    <w:rsid w:val="00CF75A9"/>
    <w:rsid w:val="00D02D48"/>
    <w:rsid w:val="00D031DD"/>
    <w:rsid w:val="00D03CC2"/>
    <w:rsid w:val="00D06069"/>
    <w:rsid w:val="00D0710E"/>
    <w:rsid w:val="00D11A2F"/>
    <w:rsid w:val="00D12035"/>
    <w:rsid w:val="00D12D4B"/>
    <w:rsid w:val="00D13678"/>
    <w:rsid w:val="00D13897"/>
    <w:rsid w:val="00D152E0"/>
    <w:rsid w:val="00D169B8"/>
    <w:rsid w:val="00D212EB"/>
    <w:rsid w:val="00D22EDB"/>
    <w:rsid w:val="00D23744"/>
    <w:rsid w:val="00D23DE9"/>
    <w:rsid w:val="00D242FA"/>
    <w:rsid w:val="00D24951"/>
    <w:rsid w:val="00D24C23"/>
    <w:rsid w:val="00D24CA5"/>
    <w:rsid w:val="00D27127"/>
    <w:rsid w:val="00D2714F"/>
    <w:rsid w:val="00D27483"/>
    <w:rsid w:val="00D313B5"/>
    <w:rsid w:val="00D31C33"/>
    <w:rsid w:val="00D31DF4"/>
    <w:rsid w:val="00D33200"/>
    <w:rsid w:val="00D33F02"/>
    <w:rsid w:val="00D35FA9"/>
    <w:rsid w:val="00D371A0"/>
    <w:rsid w:val="00D401F7"/>
    <w:rsid w:val="00D41117"/>
    <w:rsid w:val="00D4199C"/>
    <w:rsid w:val="00D4570A"/>
    <w:rsid w:val="00D475D8"/>
    <w:rsid w:val="00D51223"/>
    <w:rsid w:val="00D55271"/>
    <w:rsid w:val="00D57C54"/>
    <w:rsid w:val="00D62DE2"/>
    <w:rsid w:val="00D64D33"/>
    <w:rsid w:val="00D64D48"/>
    <w:rsid w:val="00D738A8"/>
    <w:rsid w:val="00D756F1"/>
    <w:rsid w:val="00D76072"/>
    <w:rsid w:val="00D8040C"/>
    <w:rsid w:val="00D81362"/>
    <w:rsid w:val="00D82D39"/>
    <w:rsid w:val="00D83862"/>
    <w:rsid w:val="00D85CB4"/>
    <w:rsid w:val="00D85E2D"/>
    <w:rsid w:val="00D871A3"/>
    <w:rsid w:val="00D90147"/>
    <w:rsid w:val="00D90759"/>
    <w:rsid w:val="00D9283E"/>
    <w:rsid w:val="00D979DC"/>
    <w:rsid w:val="00DA2555"/>
    <w:rsid w:val="00DA2AB0"/>
    <w:rsid w:val="00DA473E"/>
    <w:rsid w:val="00DA4AA2"/>
    <w:rsid w:val="00DA4D83"/>
    <w:rsid w:val="00DA6430"/>
    <w:rsid w:val="00DA6A72"/>
    <w:rsid w:val="00DA71DA"/>
    <w:rsid w:val="00DA7481"/>
    <w:rsid w:val="00DA7DB8"/>
    <w:rsid w:val="00DA7FCB"/>
    <w:rsid w:val="00DB07EA"/>
    <w:rsid w:val="00DB2108"/>
    <w:rsid w:val="00DB45A3"/>
    <w:rsid w:val="00DB47F8"/>
    <w:rsid w:val="00DB5094"/>
    <w:rsid w:val="00DB5615"/>
    <w:rsid w:val="00DB6198"/>
    <w:rsid w:val="00DB643A"/>
    <w:rsid w:val="00DC0874"/>
    <w:rsid w:val="00DC0D24"/>
    <w:rsid w:val="00DC0EB2"/>
    <w:rsid w:val="00DC1D6A"/>
    <w:rsid w:val="00DC2EB5"/>
    <w:rsid w:val="00DC307B"/>
    <w:rsid w:val="00DC36E6"/>
    <w:rsid w:val="00DC3C15"/>
    <w:rsid w:val="00DC51B4"/>
    <w:rsid w:val="00DC5E81"/>
    <w:rsid w:val="00DC746A"/>
    <w:rsid w:val="00DC77AF"/>
    <w:rsid w:val="00DD31CA"/>
    <w:rsid w:val="00DD3F64"/>
    <w:rsid w:val="00DD474F"/>
    <w:rsid w:val="00DD4C45"/>
    <w:rsid w:val="00DE2E48"/>
    <w:rsid w:val="00DE4202"/>
    <w:rsid w:val="00DE4B29"/>
    <w:rsid w:val="00DE526B"/>
    <w:rsid w:val="00DF1C36"/>
    <w:rsid w:val="00DF522E"/>
    <w:rsid w:val="00DF55D4"/>
    <w:rsid w:val="00DF5F8C"/>
    <w:rsid w:val="00DF6544"/>
    <w:rsid w:val="00E0059D"/>
    <w:rsid w:val="00E01310"/>
    <w:rsid w:val="00E015D8"/>
    <w:rsid w:val="00E01CFF"/>
    <w:rsid w:val="00E023D9"/>
    <w:rsid w:val="00E02532"/>
    <w:rsid w:val="00E02EC5"/>
    <w:rsid w:val="00E03ECB"/>
    <w:rsid w:val="00E0422C"/>
    <w:rsid w:val="00E05852"/>
    <w:rsid w:val="00E05B0B"/>
    <w:rsid w:val="00E07DB1"/>
    <w:rsid w:val="00E10381"/>
    <w:rsid w:val="00E11956"/>
    <w:rsid w:val="00E131FE"/>
    <w:rsid w:val="00E13475"/>
    <w:rsid w:val="00E13EA2"/>
    <w:rsid w:val="00E1562C"/>
    <w:rsid w:val="00E17412"/>
    <w:rsid w:val="00E17ACE"/>
    <w:rsid w:val="00E214E3"/>
    <w:rsid w:val="00E237B7"/>
    <w:rsid w:val="00E264E5"/>
    <w:rsid w:val="00E302CF"/>
    <w:rsid w:val="00E30EB4"/>
    <w:rsid w:val="00E318FE"/>
    <w:rsid w:val="00E31DEB"/>
    <w:rsid w:val="00E33E2E"/>
    <w:rsid w:val="00E349D5"/>
    <w:rsid w:val="00E3542A"/>
    <w:rsid w:val="00E427AE"/>
    <w:rsid w:val="00E42D8B"/>
    <w:rsid w:val="00E44698"/>
    <w:rsid w:val="00E451BF"/>
    <w:rsid w:val="00E45CFF"/>
    <w:rsid w:val="00E46E5F"/>
    <w:rsid w:val="00E46F9F"/>
    <w:rsid w:val="00E472AC"/>
    <w:rsid w:val="00E476C2"/>
    <w:rsid w:val="00E50024"/>
    <w:rsid w:val="00E50DF3"/>
    <w:rsid w:val="00E52B1A"/>
    <w:rsid w:val="00E54AB3"/>
    <w:rsid w:val="00E5701E"/>
    <w:rsid w:val="00E571BD"/>
    <w:rsid w:val="00E571E4"/>
    <w:rsid w:val="00E57A34"/>
    <w:rsid w:val="00E57BC0"/>
    <w:rsid w:val="00E61024"/>
    <w:rsid w:val="00E61281"/>
    <w:rsid w:val="00E612B8"/>
    <w:rsid w:val="00E613EF"/>
    <w:rsid w:val="00E61624"/>
    <w:rsid w:val="00E65B70"/>
    <w:rsid w:val="00E6700E"/>
    <w:rsid w:val="00E67A81"/>
    <w:rsid w:val="00E701B2"/>
    <w:rsid w:val="00E729D7"/>
    <w:rsid w:val="00E730EC"/>
    <w:rsid w:val="00E750A0"/>
    <w:rsid w:val="00E76062"/>
    <w:rsid w:val="00E81122"/>
    <w:rsid w:val="00E8159D"/>
    <w:rsid w:val="00E8238C"/>
    <w:rsid w:val="00E90726"/>
    <w:rsid w:val="00E90949"/>
    <w:rsid w:val="00E9161A"/>
    <w:rsid w:val="00E9321F"/>
    <w:rsid w:val="00E93466"/>
    <w:rsid w:val="00E9346F"/>
    <w:rsid w:val="00E943A8"/>
    <w:rsid w:val="00E94865"/>
    <w:rsid w:val="00E97484"/>
    <w:rsid w:val="00EA1149"/>
    <w:rsid w:val="00EA22F0"/>
    <w:rsid w:val="00EA2D38"/>
    <w:rsid w:val="00EA4D14"/>
    <w:rsid w:val="00EA5141"/>
    <w:rsid w:val="00EA70F5"/>
    <w:rsid w:val="00EA7BD5"/>
    <w:rsid w:val="00EB1C74"/>
    <w:rsid w:val="00EB2066"/>
    <w:rsid w:val="00EB4499"/>
    <w:rsid w:val="00EB5721"/>
    <w:rsid w:val="00EB5E9D"/>
    <w:rsid w:val="00EB6610"/>
    <w:rsid w:val="00EB6905"/>
    <w:rsid w:val="00EC0460"/>
    <w:rsid w:val="00EC0936"/>
    <w:rsid w:val="00EC10DB"/>
    <w:rsid w:val="00EC124D"/>
    <w:rsid w:val="00EC1856"/>
    <w:rsid w:val="00EC4592"/>
    <w:rsid w:val="00EC51E4"/>
    <w:rsid w:val="00EC565B"/>
    <w:rsid w:val="00EC677D"/>
    <w:rsid w:val="00EC6C90"/>
    <w:rsid w:val="00ED302C"/>
    <w:rsid w:val="00ED5FDB"/>
    <w:rsid w:val="00ED6025"/>
    <w:rsid w:val="00EE088D"/>
    <w:rsid w:val="00EE09C7"/>
    <w:rsid w:val="00EE28DA"/>
    <w:rsid w:val="00EE359E"/>
    <w:rsid w:val="00EE6E3B"/>
    <w:rsid w:val="00EF0FE0"/>
    <w:rsid w:val="00EF2859"/>
    <w:rsid w:val="00EF30F4"/>
    <w:rsid w:val="00EF5AA2"/>
    <w:rsid w:val="00EF65F1"/>
    <w:rsid w:val="00F01F21"/>
    <w:rsid w:val="00F02232"/>
    <w:rsid w:val="00F034A8"/>
    <w:rsid w:val="00F06A92"/>
    <w:rsid w:val="00F0774C"/>
    <w:rsid w:val="00F104C1"/>
    <w:rsid w:val="00F10A38"/>
    <w:rsid w:val="00F13C4E"/>
    <w:rsid w:val="00F14153"/>
    <w:rsid w:val="00F14F03"/>
    <w:rsid w:val="00F1521C"/>
    <w:rsid w:val="00F1686B"/>
    <w:rsid w:val="00F17E23"/>
    <w:rsid w:val="00F20425"/>
    <w:rsid w:val="00F22387"/>
    <w:rsid w:val="00F22AE6"/>
    <w:rsid w:val="00F2390E"/>
    <w:rsid w:val="00F23936"/>
    <w:rsid w:val="00F244BA"/>
    <w:rsid w:val="00F2475E"/>
    <w:rsid w:val="00F31900"/>
    <w:rsid w:val="00F3253F"/>
    <w:rsid w:val="00F329DF"/>
    <w:rsid w:val="00F34444"/>
    <w:rsid w:val="00F40451"/>
    <w:rsid w:val="00F408BF"/>
    <w:rsid w:val="00F417D7"/>
    <w:rsid w:val="00F421C4"/>
    <w:rsid w:val="00F42C0F"/>
    <w:rsid w:val="00F42CAC"/>
    <w:rsid w:val="00F43986"/>
    <w:rsid w:val="00F44E1F"/>
    <w:rsid w:val="00F5310F"/>
    <w:rsid w:val="00F55A05"/>
    <w:rsid w:val="00F56442"/>
    <w:rsid w:val="00F6020E"/>
    <w:rsid w:val="00F63E77"/>
    <w:rsid w:val="00F6450B"/>
    <w:rsid w:val="00F66137"/>
    <w:rsid w:val="00F70130"/>
    <w:rsid w:val="00F7118E"/>
    <w:rsid w:val="00F73115"/>
    <w:rsid w:val="00F75D41"/>
    <w:rsid w:val="00F75D42"/>
    <w:rsid w:val="00F75DD7"/>
    <w:rsid w:val="00F76594"/>
    <w:rsid w:val="00F8074D"/>
    <w:rsid w:val="00F81998"/>
    <w:rsid w:val="00F82DA8"/>
    <w:rsid w:val="00F83763"/>
    <w:rsid w:val="00F837F2"/>
    <w:rsid w:val="00F841C3"/>
    <w:rsid w:val="00F84931"/>
    <w:rsid w:val="00F8503F"/>
    <w:rsid w:val="00F8583B"/>
    <w:rsid w:val="00F8585A"/>
    <w:rsid w:val="00F8643E"/>
    <w:rsid w:val="00F8700B"/>
    <w:rsid w:val="00F904A4"/>
    <w:rsid w:val="00F904FF"/>
    <w:rsid w:val="00F90D44"/>
    <w:rsid w:val="00F92E7B"/>
    <w:rsid w:val="00FA0C53"/>
    <w:rsid w:val="00FA24CB"/>
    <w:rsid w:val="00FA3586"/>
    <w:rsid w:val="00FA385D"/>
    <w:rsid w:val="00FA3AA8"/>
    <w:rsid w:val="00FA714F"/>
    <w:rsid w:val="00FB22C8"/>
    <w:rsid w:val="00FB2AA2"/>
    <w:rsid w:val="00FB3EAB"/>
    <w:rsid w:val="00FB42F2"/>
    <w:rsid w:val="00FB4998"/>
    <w:rsid w:val="00FB7941"/>
    <w:rsid w:val="00FB7A4A"/>
    <w:rsid w:val="00FC01AC"/>
    <w:rsid w:val="00FC0BC7"/>
    <w:rsid w:val="00FC0E4A"/>
    <w:rsid w:val="00FC157A"/>
    <w:rsid w:val="00FC197F"/>
    <w:rsid w:val="00FC6160"/>
    <w:rsid w:val="00FC717B"/>
    <w:rsid w:val="00FC7323"/>
    <w:rsid w:val="00FD0C4E"/>
    <w:rsid w:val="00FD16D5"/>
    <w:rsid w:val="00FD17C3"/>
    <w:rsid w:val="00FD1C0B"/>
    <w:rsid w:val="00FD2EA0"/>
    <w:rsid w:val="00FD3117"/>
    <w:rsid w:val="00FD4EA1"/>
    <w:rsid w:val="00FD643E"/>
    <w:rsid w:val="00FD697D"/>
    <w:rsid w:val="00FD6C24"/>
    <w:rsid w:val="00FE005F"/>
    <w:rsid w:val="00FE1D76"/>
    <w:rsid w:val="00FF0765"/>
    <w:rsid w:val="00FF0BA9"/>
    <w:rsid w:val="00FF0D96"/>
    <w:rsid w:val="00FF3325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4E3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B2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1F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13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1FE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131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26B82"/>
    <w:rPr>
      <w:sz w:val="22"/>
      <w:szCs w:val="22"/>
      <w:lang w:eastAsia="en-US"/>
    </w:rPr>
  </w:style>
  <w:style w:type="paragraph" w:customStyle="1" w:styleId="ConsPlusNormal">
    <w:name w:val="ConsPlusNormal"/>
    <w:rsid w:val="0025276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A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9F4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style12"/>
    <w:basedOn w:val="a0"/>
    <w:rsid w:val="007B6157"/>
  </w:style>
  <w:style w:type="paragraph" w:styleId="ac">
    <w:name w:val="Body Text"/>
    <w:basedOn w:val="a"/>
    <w:link w:val="ad"/>
    <w:uiPriority w:val="99"/>
    <w:semiHidden/>
    <w:unhideWhenUsed/>
    <w:rsid w:val="00D64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64D48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A83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4E3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B2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1F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13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1FE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131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26B82"/>
    <w:rPr>
      <w:sz w:val="22"/>
      <w:szCs w:val="22"/>
      <w:lang w:eastAsia="en-US"/>
    </w:rPr>
  </w:style>
  <w:style w:type="paragraph" w:customStyle="1" w:styleId="ConsPlusNormal">
    <w:name w:val="ConsPlusNormal"/>
    <w:rsid w:val="0025276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A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9F4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style12"/>
    <w:basedOn w:val="a0"/>
    <w:rsid w:val="007B6157"/>
  </w:style>
  <w:style w:type="paragraph" w:styleId="ac">
    <w:name w:val="Body Text"/>
    <w:basedOn w:val="a"/>
    <w:link w:val="ad"/>
    <w:uiPriority w:val="99"/>
    <w:semiHidden/>
    <w:unhideWhenUsed/>
    <w:rsid w:val="00D64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64D48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A83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692">
          <w:marLeft w:val="0"/>
          <w:marRight w:val="0"/>
          <w:marTop w:val="188"/>
          <w:marBottom w:val="0"/>
          <w:divBdr>
            <w:top w:val="single" w:sz="4" w:space="9" w:color="DCDCDC"/>
            <w:left w:val="single" w:sz="4" w:space="9" w:color="DCDCDC"/>
            <w:bottom w:val="single" w:sz="4" w:space="9" w:color="DCDCDC"/>
            <w:right w:val="single" w:sz="4" w:space="9" w:color="DCDCDC"/>
          </w:divBdr>
          <w:divsChild>
            <w:div w:id="2001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t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6756-E98B-428B-909F-D9DB709E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Аминова Галия Шамсутдиновна</cp:lastModifiedBy>
  <cp:revision>9</cp:revision>
  <cp:lastPrinted>2013-06-24T14:25:00Z</cp:lastPrinted>
  <dcterms:created xsi:type="dcterms:W3CDTF">2014-08-26T11:58:00Z</dcterms:created>
  <dcterms:modified xsi:type="dcterms:W3CDTF">2014-08-26T12:08:00Z</dcterms:modified>
</cp:coreProperties>
</file>